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  <w:t>更新：产品上架标准 及 表格资料须知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i w:val="0"/>
          <w:caps w:val="0"/>
          <w:color w:val="252629"/>
          <w:spacing w:val="0"/>
          <w:sz w:val="18"/>
          <w:szCs w:val="18"/>
          <w:shd w:val="clear" w:fill="FFFFFF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Dear 产品部 and 收益部，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鉴于日历房及套餐业务线的合并调整，以下标准已和BD部门负责人和上级领导确认更新，请各位知悉并按此邮件通知执行。谢谢！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</w:rPr>
      </w:pPr>
      <w:bookmarkStart w:id="0" w:name="_GoBack"/>
      <w:bookmarkEnd w:id="0"/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一、常规产品上架标准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</w:rPr>
        <w:t>（广东+海南区域 - Lynn和Dominic； 其他区域 - Lora和Torry）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1、日历房上架：新签酒店需BD核实确保在HOP新增好此酒店，邮件发送到对应区域收益主管，内容需包含完整酒店、房型、价格等相关信息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2、套餐产品上架：新签酒店需BD核实确保在HOP新增好此酒店，邮件发送到对应区域收益主管，内容包含《产品信息表》里面所有信息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3、财务信息可以后补，由财务应付会计负责定期按月25号前排查，如发现后续一个月内HOP仍未补全，以发起事故进行处罚。产生订单未有财务信息的酒店，财务会联系对应BD自行处理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4、产品上架需同时审核产品间夜利润、可售渠道、酒店实际情况三部分，如果都达标就常规上架。针对公司战略项目，需另行决策，不适用此上架标准。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5、具体上架及运营标准请参考下图。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3125470" cy="2197100"/>
            <wp:effectExtent l="0" t="0" r="17780" b="12700"/>
            <wp:docPr id="5" name="图片 5" descr="temp4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emp4c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二、表格资料须知</w:t>
      </w:r>
    </w:p>
    <w:p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1、此邮件以及《产品信息表》已上传至HOP-共享文件-公共文件-收益部，可自行下载。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</w:rPr>
        <w:t>2、之前已发布各种表格资料已上传至HOP-共享文件-公共文件-收益部，可自行下载。</w:t>
      </w:r>
    </w:p>
    <w:p>
      <w:pPr>
        <w:spacing w:line="240" w:lineRule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drawing>
          <wp:inline distT="0" distB="0" distL="114300" distR="114300">
            <wp:extent cx="5269230" cy="2316480"/>
            <wp:effectExtent l="0" t="0" r="7620" b="7620"/>
            <wp:docPr id="7" name="图片 7" descr="temp4cj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emp4cj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457A"/>
    <w:rsid w:val="094643D8"/>
    <w:rsid w:val="0A9011D2"/>
    <w:rsid w:val="15CE05FA"/>
    <w:rsid w:val="198768AC"/>
    <w:rsid w:val="43BA7B0B"/>
    <w:rsid w:val="6DD6457A"/>
    <w:rsid w:val="7724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2020-08-13T08:09:00Z</dcterms:created>
  <dc:creator>Torry</dc:creator>
  <cp:lastModifiedBy>Torry</cp:lastModifiedBy>
  <dcterms:modified xsi:type="dcterms:W3CDTF">2020-08-13T09:00:54Z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