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pPr>
    </w:p>
    <w:p>
      <w:pPr>
        <w:spacing w:before="97"/>
        <w:ind w:firstLine="0" w:firstLineChars="0"/>
      </w:pPr>
    </w:p>
    <w:p>
      <w:pPr>
        <w:spacing w:before="97"/>
        <w:ind w:firstLine="0" w:firstLineChars="0"/>
      </w:pPr>
    </w:p>
    <w:p>
      <w:pPr>
        <w:pStyle w:val="9"/>
      </w:pPr>
      <w:r>
        <w:t>【</w:t>
      </w:r>
      <w:r>
        <w:rPr>
          <w:rFonts w:hint="eastAsia"/>
        </w:rPr>
        <w:t>A</w:t>
      </w:r>
      <w:r>
        <w:t>】</w:t>
      </w:r>
      <w:r>
        <w:br w:type="textWrapping"/>
      </w:r>
      <w:r>
        <w:rPr>
          <w:rFonts w:hint="eastAsia"/>
        </w:rPr>
        <w:t>与广州汇登信息科技有限公司</w:t>
      </w:r>
      <w:r>
        <w:br w:type="textWrapping"/>
      </w:r>
      <w:r>
        <w:rPr>
          <w:rFonts w:hint="eastAsia"/>
        </w:rPr>
        <w:t>关于</w:t>
      </w:r>
      <w:r>
        <w:br w:type="textWrapping"/>
      </w:r>
      <w:r>
        <w:rPr>
          <w:rFonts w:hint="eastAsia"/>
        </w:rPr>
        <w:t>【汇客宝】文旅分销系统的服务协议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26" w:charSpace="0"/>
        </w:sectPr>
      </w:pPr>
    </w:p>
    <w:p>
      <w:pPr>
        <w:pStyle w:val="8"/>
      </w:pPr>
      <w:r>
        <w:rPr>
          <w:rFonts w:hint="eastAsia"/>
        </w:rPr>
        <w:t>【A】</w:t>
      </w:r>
      <w:r>
        <w:br w:type="textWrapping"/>
      </w:r>
      <w:r>
        <w:rPr>
          <w:rFonts w:hint="eastAsia"/>
        </w:rPr>
        <w:t>与广州汇登信息科技有限公司</w:t>
      </w:r>
      <w:r>
        <w:br w:type="textWrapping"/>
      </w:r>
      <w:r>
        <w:rPr>
          <w:rFonts w:hint="eastAsia"/>
        </w:rPr>
        <w:t>关于</w:t>
      </w:r>
      <w:r>
        <w:br w:type="textWrapping"/>
      </w:r>
      <w:r>
        <w:rPr>
          <w:rFonts w:hint="eastAsia"/>
        </w:rPr>
        <w:t>【汇客宝】文旅分销系统的服务协议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w:t>
      </w:r>
      <w:r>
        <w:rPr>
          <w:rFonts w:hint="eastAsia" w:ascii="宋体" w:hAnsi="宋体"/>
          <w:color w:val="000000"/>
          <w:sz w:val="18"/>
          <w:szCs w:val="18"/>
          <w:u w:val="single"/>
        </w:rPr>
        <w:t xml:space="preserve">                                                                                </w:t>
      </w:r>
    </w:p>
    <w:p>
      <w:pPr>
        <w:spacing w:before="97"/>
        <w:ind w:firstLine="480"/>
      </w:pPr>
      <w:r>
        <w:t>法定代表人</w:t>
      </w:r>
      <w:r>
        <w:rPr>
          <w:rFonts w:hint="eastAsia"/>
        </w:rPr>
        <w:t>：</w:t>
      </w:r>
      <w:r>
        <w:rPr>
          <w:rFonts w:hint="eastAsia" w:ascii="宋体" w:hAnsi="宋体"/>
          <w:color w:val="000000"/>
          <w:sz w:val="18"/>
          <w:szCs w:val="18"/>
          <w:u w:val="single"/>
        </w:rPr>
        <w:t xml:space="preserve">                                                                       </w:t>
      </w:r>
    </w:p>
    <w:p>
      <w:pPr>
        <w:spacing w:before="97"/>
        <w:ind w:firstLine="480"/>
      </w:pPr>
      <w:r>
        <w:t>注册地址：</w:t>
      </w:r>
      <w:r>
        <w:rPr>
          <w:rFonts w:hint="eastAsia" w:ascii="宋体" w:hAnsi="宋体"/>
          <w:color w:val="000000"/>
          <w:sz w:val="18"/>
          <w:szCs w:val="18"/>
          <w:u w:val="single"/>
        </w:rPr>
        <w:t xml:space="preserve">                                                                         </w:t>
      </w:r>
    </w:p>
    <w:p>
      <w:pPr>
        <w:spacing w:before="97"/>
        <w:ind w:firstLine="480"/>
      </w:pPr>
      <w:r>
        <w:t>联系电话</w:t>
      </w:r>
      <w:r>
        <w:rPr>
          <w:rFonts w:hint="eastAsia"/>
        </w:rPr>
        <w:t>：</w:t>
      </w:r>
      <w:r>
        <w:rPr>
          <w:rFonts w:hint="eastAsia" w:ascii="宋体" w:hAnsi="宋体"/>
          <w:color w:val="000000"/>
          <w:sz w:val="18"/>
          <w:szCs w:val="18"/>
          <w:u w:val="single"/>
        </w:rPr>
        <w:t xml:space="preserve">                                                                         </w:t>
      </w:r>
    </w:p>
    <w:p>
      <w:pPr>
        <w:spacing w:before="489" w:beforeLines="150"/>
        <w:ind w:firstLine="480"/>
      </w:pPr>
      <w:r>
        <w:rPr>
          <w:rFonts w:hint="eastAsia"/>
        </w:rPr>
        <w:t>乙方：广州汇登信息科技有限公司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97"/>
        <w:ind w:firstLine="480"/>
      </w:pPr>
    </w:p>
    <w:p>
      <w:pPr>
        <w:pStyle w:val="2"/>
        <w:spacing w:before="326"/>
        <w:ind w:firstLine="0" w:firstLineChars="0"/>
      </w:pPr>
      <w:r>
        <w:t>鉴于：</w:t>
      </w:r>
    </w:p>
    <w:p>
      <w:pPr>
        <w:spacing w:before="97"/>
        <w:ind w:firstLine="480"/>
      </w:pPr>
      <w:r>
        <w:t>甲方为</w:t>
      </w:r>
      <w:r>
        <w:rPr>
          <w:rFonts w:hint="eastAsia"/>
        </w:rPr>
        <w:t>【</w:t>
      </w:r>
      <w:r>
        <w:rPr>
          <w:rFonts w:hint="eastAsia"/>
          <w:u w:val="single"/>
        </w:rPr>
        <w:t>简要说明所从事的行业类型、特点、产品内容</w:t>
      </w:r>
      <w:r>
        <w:rPr>
          <w:rFonts w:hint="eastAsia"/>
        </w:rPr>
        <w:t>】</w:t>
      </w:r>
    </w:p>
    <w:p>
      <w:pPr>
        <w:spacing w:before="97"/>
        <w:ind w:firstLine="480"/>
      </w:pPr>
      <w:r>
        <w:t>乙方为一家专业为</w:t>
      </w:r>
      <w:r>
        <w:rPr>
          <w:rFonts w:hint="eastAsia"/>
        </w:rPr>
        <w:t>酒店、旅行社、景区等文旅企业为提供多元化的分销渠道，快速对接旅行社、OTA电商、同业分销平台等线上线下渠道，为旅游产品供应商和分销商提供高效便捷的在线供应链体验的专业机构，主要从事酒店、景点门票等文旅产品的营销、分销等业务。</w:t>
      </w:r>
    </w:p>
    <w:p>
      <w:pPr>
        <w:spacing w:before="163" w:beforeLines="50" w:line="360" w:lineRule="auto"/>
        <w:ind w:firstLine="480"/>
      </w:pPr>
      <w:r>
        <w:rPr>
          <w:rFonts w:hint="eastAsia"/>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pPr>
        <w:spacing w:before="97"/>
        <w:ind w:firstLine="480"/>
      </w:pPr>
      <w:r>
        <w:rPr>
          <w:rFonts w:hint="eastAsia"/>
        </w:rPr>
        <w:t>具体合作内容如下：</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1134" w:type="dxa"/>
            <w:shd w:val="clear" w:color="auto" w:fill="5B9BD5" w:themeFill="accent1"/>
            <w:vAlign w:val="center"/>
          </w:tcPr>
          <w:p>
            <w:pPr>
              <w:spacing w:before="0" w:beforeLines="0"/>
              <w:ind w:firstLine="0" w:firstLineChars="0"/>
              <w:jc w:val="center"/>
              <w:rPr>
                <w:b/>
              </w:rPr>
            </w:pPr>
            <w:r>
              <w:rPr>
                <w:rFonts w:hint="eastAsia"/>
                <w:b/>
              </w:rPr>
              <w:t>指</w:t>
            </w:r>
          </w:p>
        </w:tc>
        <w:tc>
          <w:tcPr>
            <w:tcW w:w="6167"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before="0" w:beforeLines="0"/>
              <w:ind w:firstLine="0" w:firstLineChars="0"/>
              <w:jc w:val="center"/>
            </w:pPr>
            <w:r>
              <w:t>双方</w:t>
            </w:r>
          </w:p>
        </w:tc>
        <w:tc>
          <w:tcPr>
            <w:tcW w:w="1134" w:type="dxa"/>
            <w:vAlign w:val="center"/>
          </w:tcPr>
          <w:p>
            <w:pPr>
              <w:spacing w:before="0" w:beforeLines="0"/>
              <w:ind w:firstLine="0" w:firstLineChars="0"/>
              <w:jc w:val="center"/>
            </w:pPr>
            <w:r>
              <w:t>指</w:t>
            </w:r>
          </w:p>
        </w:tc>
        <w:tc>
          <w:tcPr>
            <w:tcW w:w="6167" w:type="dxa"/>
            <w:vAlign w:val="center"/>
          </w:tcPr>
          <w:p>
            <w:pPr>
              <w:spacing w:before="0" w:beforeLines="0"/>
              <w:ind w:firstLine="0" w:firstLineChars="0"/>
            </w:pPr>
            <w:r>
              <w:t>本协议的甲方及乙方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tcPr>
          <w:p>
            <w:pPr>
              <w:spacing w:before="0" w:beforeLines="0"/>
              <w:ind w:firstLine="0" w:firstLineChars="0"/>
              <w:jc w:val="center"/>
            </w:pPr>
            <w:r>
              <w:rPr>
                <w:rFonts w:hint="eastAsia"/>
              </w:rPr>
              <w:t>任何一方</w:t>
            </w:r>
          </w:p>
        </w:tc>
        <w:tc>
          <w:tcPr>
            <w:tcW w:w="1134" w:type="dxa"/>
          </w:tcPr>
          <w:p>
            <w:pPr>
              <w:spacing w:before="0" w:beforeLines="0"/>
              <w:ind w:firstLine="0" w:firstLineChars="0"/>
              <w:jc w:val="center"/>
            </w:pPr>
            <w:r>
              <w:rPr>
                <w:rFonts w:hint="eastAsia"/>
              </w:rPr>
              <w:t>指</w:t>
            </w:r>
          </w:p>
        </w:tc>
        <w:tc>
          <w:tcPr>
            <w:tcW w:w="6167" w:type="dxa"/>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before="0" w:beforeLines="0"/>
              <w:ind w:firstLine="0" w:firstLineChars="0"/>
              <w:jc w:val="center"/>
            </w:pPr>
            <w:r>
              <w:rPr>
                <w:rFonts w:hint="eastAsia"/>
              </w:rPr>
              <w:t>另一方</w:t>
            </w:r>
          </w:p>
        </w:tc>
        <w:tc>
          <w:tcPr>
            <w:tcW w:w="1134" w:type="dxa"/>
            <w:vAlign w:val="center"/>
          </w:tcPr>
          <w:p>
            <w:pPr>
              <w:spacing w:before="0" w:beforeLines="0"/>
              <w:ind w:firstLine="0" w:firstLineChars="0"/>
              <w:jc w:val="center"/>
            </w:pPr>
            <w:r>
              <w:rPr>
                <w:rFonts w:hint="eastAsia"/>
              </w:rPr>
              <w:t>指</w:t>
            </w:r>
          </w:p>
        </w:tc>
        <w:tc>
          <w:tcPr>
            <w:tcW w:w="6167"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before="0" w:beforeLines="0"/>
              <w:ind w:firstLine="0" w:firstLineChars="0"/>
              <w:jc w:val="center"/>
            </w:pPr>
            <w:r>
              <w:rPr>
                <w:rFonts w:hint="eastAsia"/>
              </w:rPr>
              <w:t>关联方</w:t>
            </w:r>
          </w:p>
        </w:tc>
        <w:tc>
          <w:tcPr>
            <w:tcW w:w="1134" w:type="dxa"/>
            <w:vAlign w:val="center"/>
          </w:tcPr>
          <w:p>
            <w:pPr>
              <w:spacing w:before="0" w:beforeLines="0"/>
              <w:ind w:firstLine="0" w:firstLineChars="0"/>
              <w:jc w:val="center"/>
            </w:pPr>
            <w:r>
              <w:rPr>
                <w:rFonts w:hint="eastAsia"/>
              </w:rPr>
              <w:t>指</w:t>
            </w:r>
          </w:p>
        </w:tc>
        <w:tc>
          <w:tcPr>
            <w:tcW w:w="6167"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before="0" w:beforeLines="0"/>
              <w:ind w:firstLine="0" w:firstLineChars="0"/>
              <w:jc w:val="center"/>
            </w:pPr>
            <w:r>
              <w:rPr>
                <w:rFonts w:hint="eastAsia"/>
              </w:rPr>
              <w:t>中国</w:t>
            </w:r>
          </w:p>
        </w:tc>
        <w:tc>
          <w:tcPr>
            <w:tcW w:w="1134" w:type="dxa"/>
            <w:vAlign w:val="center"/>
          </w:tcPr>
          <w:p>
            <w:pPr>
              <w:spacing w:before="0" w:beforeLines="0"/>
              <w:ind w:firstLine="0" w:firstLineChars="0"/>
              <w:jc w:val="center"/>
            </w:pPr>
            <w:r>
              <w:rPr>
                <w:rFonts w:hint="eastAsia"/>
              </w:rPr>
              <w:t>指</w:t>
            </w:r>
          </w:p>
        </w:tc>
        <w:tc>
          <w:tcPr>
            <w:tcW w:w="6167"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before="0" w:beforeLines="0"/>
              <w:ind w:firstLine="0" w:firstLineChars="0"/>
              <w:jc w:val="center"/>
            </w:pPr>
            <w:r>
              <w:rPr>
                <w:rFonts w:hint="eastAsia"/>
              </w:rPr>
              <w:t>元</w:t>
            </w:r>
          </w:p>
        </w:tc>
        <w:tc>
          <w:tcPr>
            <w:tcW w:w="1134" w:type="dxa"/>
            <w:vAlign w:val="center"/>
          </w:tcPr>
          <w:p>
            <w:pPr>
              <w:spacing w:before="0" w:beforeLines="0"/>
              <w:ind w:firstLine="0" w:firstLineChars="0"/>
              <w:jc w:val="center"/>
            </w:pPr>
            <w:r>
              <w:rPr>
                <w:rFonts w:hint="eastAsia"/>
              </w:rPr>
              <w:t>指</w:t>
            </w:r>
          </w:p>
        </w:tc>
        <w:tc>
          <w:tcPr>
            <w:tcW w:w="6167" w:type="dxa"/>
            <w:vAlign w:val="center"/>
          </w:tcPr>
          <w:p>
            <w:pPr>
              <w:spacing w:before="0" w:beforeLines="0"/>
              <w:ind w:firstLine="0" w:firstLineChars="0"/>
            </w:pPr>
            <w:r>
              <w:rPr>
                <w:rFonts w:hint="eastAsia"/>
              </w:rPr>
              <w:t>人民币元</w:t>
            </w:r>
          </w:p>
        </w:tc>
      </w:tr>
    </w:tbl>
    <w:p>
      <w:pPr>
        <w:pStyle w:val="2"/>
        <w:numPr>
          <w:ilvl w:val="0"/>
          <w:numId w:val="1"/>
        </w:numPr>
        <w:spacing w:before="326"/>
        <w:ind w:left="0" w:firstLine="482"/>
      </w:pPr>
      <w:r>
        <w:rPr>
          <w:rFonts w:hint="eastAsia"/>
        </w:rPr>
        <w:t>合作内容</w:t>
      </w:r>
    </w:p>
    <w:p>
      <w:pPr>
        <w:spacing w:before="0" w:beforeLines="0"/>
        <w:ind w:firstLine="480"/>
      </w:pPr>
      <w:r>
        <w:t>1</w:t>
      </w:r>
      <w:r>
        <w:rPr>
          <w:rFonts w:hint="eastAsia"/>
        </w:rPr>
        <w:t>、乙方为甲方提供文旅分销系统平台服务，甲方将利用乙方提供的文旅分销系统平台，销售酒店、门票、餐饮券等文旅类产品。</w:t>
      </w:r>
    </w:p>
    <w:p>
      <w:pPr>
        <w:spacing w:before="0" w:beforeLines="0"/>
        <w:ind w:firstLine="480"/>
      </w:pPr>
      <w:r>
        <w:t>3</w:t>
      </w:r>
      <w:r>
        <w:rPr>
          <w:rFonts w:hint="eastAsia"/>
        </w:rPr>
        <w:t>、合作模式：</w:t>
      </w:r>
    </w:p>
    <w:p>
      <w:pPr>
        <w:spacing w:before="0" w:beforeLines="0"/>
        <w:ind w:firstLine="480"/>
      </w:pPr>
      <w:r>
        <w:rPr>
          <w:rFonts w:hint="eastAsia"/>
        </w:rPr>
        <w:t>（1）乙方提供给甲方一套产品和交易后台管理系统，包括但不限于：官方H5微商城、官方小程序、达人分销系统、客户关系管理系统、营销管理系统、OTA价格管理系统、B2B同业分销系统、订单管理系统等（系统全部功能参见乙方手册列明的功能明细），以实现帮助甲方拓宽并有效管理销售渠道，建立网络官方旗舰店，最终全面提升甲方营收的目的。</w:t>
      </w:r>
    </w:p>
    <w:p>
      <w:pPr>
        <w:spacing w:before="0" w:beforeLines="0"/>
        <w:ind w:firstLine="480"/>
      </w:pPr>
      <w:r>
        <w:rPr>
          <w:rFonts w:hint="eastAsia"/>
        </w:rPr>
        <w:t>（2）为实现甲方消费者的在线预定和交易，乙方为甲方开发基于手机平台的官网用户端平台；使得用户端平台具备酒店产品查询、预定、在线支付和会员信息查询等功能。</w:t>
      </w:r>
    </w:p>
    <w:p>
      <w:pPr>
        <w:spacing w:before="0" w:beforeLines="0"/>
        <w:ind w:firstLine="480"/>
      </w:pPr>
      <w:r>
        <w:rPr>
          <w:rFonts w:hint="eastAsia"/>
        </w:rPr>
        <w:t>（</w:t>
      </w:r>
      <w:r>
        <w:t>3</w:t>
      </w:r>
      <w:r>
        <w:rPr>
          <w:rFonts w:hint="eastAsia"/>
        </w:rPr>
        <w:t>）乙方接受甲方委托，为甲方的微信服务号提供产品交易运营服务以全面提升微信商城的交易能力，包括：产品设计、交易流程规划和员工培训等。</w:t>
      </w:r>
    </w:p>
    <w:p>
      <w:pPr>
        <w:spacing w:before="0" w:beforeLines="0"/>
        <w:ind w:firstLine="480"/>
      </w:pPr>
      <w:r>
        <w:rPr>
          <w:rFonts w:hint="eastAsia"/>
        </w:rPr>
        <w:t>（4）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pPr>
        <w:spacing w:before="0" w:beforeLines="0"/>
        <w:ind w:firstLine="480"/>
      </w:pPr>
      <w:r>
        <w:rPr>
          <w:rFonts w:hint="eastAsia"/>
        </w:rPr>
        <w:t>（</w:t>
      </w:r>
      <w:r>
        <w:t>5</w:t>
      </w:r>
      <w:r>
        <w:rPr>
          <w:rFonts w:hint="eastAsia"/>
        </w:rPr>
        <w:t>）乙方提供给甲方自动分账和收款结算功能，但甲方需提供必要的资质证明材料（企业营业执照和法人身份证明等）到乙方指定银行申请开通结算。</w:t>
      </w:r>
    </w:p>
    <w:p>
      <w:pPr>
        <w:spacing w:before="0" w:beforeLines="0"/>
        <w:ind w:firstLine="480"/>
      </w:pPr>
      <w:r>
        <w:rPr>
          <w:rFonts w:hint="eastAsia"/>
        </w:rPr>
        <w:t>4、增值服务</w:t>
      </w:r>
    </w:p>
    <w:p>
      <w:pPr>
        <w:spacing w:before="0" w:beforeLines="0"/>
        <w:ind w:firstLine="480"/>
      </w:pPr>
      <w:r>
        <w:t>乙方在合作过程中可以根据甲方需求</w:t>
      </w:r>
      <w:r>
        <w:rPr>
          <w:rFonts w:hint="eastAsia"/>
        </w:rPr>
        <w:t>向甲方提供增值服务包括：</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86"/>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before="0" w:beforeLines="0"/>
              <w:ind w:firstLine="0" w:firstLineChars="0"/>
              <w:jc w:val="center"/>
            </w:pPr>
            <w:r>
              <w:rPr>
                <w:rFonts w:hint="eastAsia"/>
              </w:rPr>
              <w:t>序号</w:t>
            </w:r>
          </w:p>
        </w:tc>
        <w:tc>
          <w:tcPr>
            <w:tcW w:w="2586" w:type="dxa"/>
          </w:tcPr>
          <w:p>
            <w:pPr>
              <w:spacing w:before="0" w:beforeLines="0"/>
              <w:ind w:firstLine="0" w:firstLineChars="0"/>
              <w:jc w:val="center"/>
            </w:pPr>
            <w:r>
              <w:rPr>
                <w:rFonts w:hint="eastAsia"/>
              </w:rPr>
              <w:t>服务内容</w:t>
            </w:r>
          </w:p>
        </w:tc>
        <w:tc>
          <w:tcPr>
            <w:tcW w:w="5777" w:type="dxa"/>
          </w:tcPr>
          <w:p>
            <w:pPr>
              <w:spacing w:before="0" w:beforeLines="0"/>
              <w:ind w:firstLine="0" w:firstLineChars="0"/>
              <w:jc w:val="center"/>
            </w:pPr>
            <w:r>
              <w:rPr>
                <w:rFonts w:hint="eastAsia"/>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before="0" w:beforeLines="0"/>
              <w:ind w:firstLine="0" w:firstLineChars="0"/>
              <w:jc w:val="center"/>
            </w:pPr>
            <w:r>
              <w:rPr>
                <w:rFonts w:hint="eastAsia"/>
              </w:rPr>
              <w:t>1</w:t>
            </w:r>
          </w:p>
        </w:tc>
        <w:tc>
          <w:tcPr>
            <w:tcW w:w="2586" w:type="dxa"/>
            <w:vAlign w:val="center"/>
          </w:tcPr>
          <w:p>
            <w:pPr>
              <w:spacing w:before="0" w:beforeLines="0"/>
              <w:ind w:firstLine="0" w:firstLineChars="0"/>
              <w:jc w:val="center"/>
            </w:pPr>
            <w:r>
              <w:rPr>
                <w:rFonts w:hint="eastAsia"/>
              </w:rPr>
              <w:t>媒体运营及营销服务</w:t>
            </w:r>
          </w:p>
        </w:tc>
        <w:tc>
          <w:tcPr>
            <w:tcW w:w="5777" w:type="dxa"/>
            <w:vAlign w:val="center"/>
          </w:tcPr>
          <w:p>
            <w:pPr>
              <w:spacing w:before="0" w:beforeLines="0"/>
              <w:ind w:firstLine="0" w:firstLineChars="0"/>
            </w:pPr>
            <w:r>
              <w:rPr>
                <w:rFonts w:hint="eastAsia"/>
              </w:rPr>
              <w:t>运营酒店官方媒体号，包括内容创作、美工设计、短视频拍摄、新媒体运营、广告投放等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before="0" w:beforeLines="0"/>
              <w:ind w:firstLine="0" w:firstLineChars="0"/>
              <w:jc w:val="center"/>
            </w:pPr>
            <w:r>
              <w:rPr>
                <w:rFonts w:hint="eastAsia"/>
              </w:rPr>
              <w:t>2</w:t>
            </w:r>
          </w:p>
        </w:tc>
        <w:tc>
          <w:tcPr>
            <w:tcW w:w="2586" w:type="dxa"/>
            <w:vAlign w:val="center"/>
          </w:tcPr>
          <w:p>
            <w:pPr>
              <w:spacing w:before="0" w:beforeLines="0"/>
              <w:ind w:firstLine="0" w:firstLineChars="0"/>
              <w:jc w:val="center"/>
            </w:pPr>
            <w:r>
              <w:rPr>
                <w:rFonts w:hint="eastAsia"/>
              </w:rPr>
              <w:t>系统功能定制</w:t>
            </w:r>
          </w:p>
        </w:tc>
        <w:tc>
          <w:tcPr>
            <w:tcW w:w="5777" w:type="dxa"/>
            <w:vAlign w:val="center"/>
          </w:tcPr>
          <w:p>
            <w:pPr>
              <w:spacing w:before="0" w:beforeLines="0"/>
              <w:ind w:firstLine="0" w:firstLineChars="0"/>
            </w:pPr>
            <w:r>
              <w:rPr>
                <w:rFonts w:hint="eastAsia"/>
              </w:rPr>
              <w:t>根据酒店实际情况，在原系统基础上开发额外功能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before="0" w:beforeLines="0"/>
              <w:ind w:firstLine="0" w:firstLineChars="0"/>
              <w:jc w:val="center"/>
            </w:pPr>
            <w:r>
              <w:rPr>
                <w:rFonts w:hint="eastAsia"/>
              </w:rPr>
              <w:t>3</w:t>
            </w:r>
          </w:p>
        </w:tc>
        <w:tc>
          <w:tcPr>
            <w:tcW w:w="2586" w:type="dxa"/>
            <w:vAlign w:val="center"/>
          </w:tcPr>
          <w:p>
            <w:pPr>
              <w:spacing w:before="0" w:beforeLines="0"/>
              <w:ind w:firstLine="0" w:firstLineChars="0"/>
              <w:jc w:val="center"/>
            </w:pPr>
            <w:r>
              <w:rPr>
                <w:rFonts w:hint="eastAsia"/>
              </w:rPr>
              <w:t>其他</w:t>
            </w:r>
          </w:p>
        </w:tc>
        <w:tc>
          <w:tcPr>
            <w:tcW w:w="5777" w:type="dxa"/>
            <w:vAlign w:val="center"/>
          </w:tcPr>
          <w:p>
            <w:pPr>
              <w:spacing w:before="0" w:beforeLines="0"/>
              <w:ind w:firstLine="0" w:firstLineChars="0"/>
            </w:pPr>
            <w:r>
              <w:rPr>
                <w:rFonts w:hint="eastAsia"/>
              </w:rPr>
              <w:t>乙方根据甲方需求研发或自主研发的其他类型的服务</w:t>
            </w:r>
          </w:p>
        </w:tc>
      </w:tr>
    </w:tbl>
    <w:p>
      <w:pPr>
        <w:pStyle w:val="2"/>
        <w:numPr>
          <w:ilvl w:val="0"/>
          <w:numId w:val="1"/>
        </w:numPr>
        <w:spacing w:before="326"/>
        <w:ind w:left="0" w:firstLine="482"/>
      </w:pPr>
      <w:r>
        <w:rPr>
          <w:rFonts w:hint="eastAsia"/>
        </w:rPr>
        <w:t>服务费</w:t>
      </w:r>
      <w:r>
        <w:t>及结算</w:t>
      </w:r>
    </w:p>
    <w:p>
      <w:pPr>
        <w:spacing w:before="97"/>
        <w:ind w:firstLine="482"/>
        <w:rPr>
          <w:b/>
        </w:rPr>
      </w:pPr>
      <w:r>
        <w:rPr>
          <w:b/>
        </w:rPr>
        <w:t>1</w:t>
      </w:r>
      <w:r>
        <w:rPr>
          <w:rFonts w:hint="eastAsia"/>
          <w:b/>
        </w:rPr>
        <w:t>、服务费计算</w:t>
      </w:r>
    </w:p>
    <w:p>
      <w:pPr>
        <w:spacing w:before="97"/>
        <w:ind w:firstLine="480"/>
      </w:pPr>
      <w:r>
        <w:rPr>
          <w:rFonts w:hint="eastAsia"/>
        </w:rPr>
        <w:t>双方一致同意，乙方收取的服务费按照以类别及标准计算：</w:t>
      </w:r>
    </w:p>
    <w:p>
      <w:pPr>
        <w:spacing w:before="97"/>
        <w:ind w:firstLine="480"/>
      </w:pPr>
      <w:r>
        <w:rPr>
          <w:rFonts w:hint="eastAsia"/>
        </w:rPr>
        <w:t>（1）技术服务费：乙方收取甲方人民币</w:t>
      </w:r>
      <w:r>
        <w:rPr>
          <w:rFonts w:hint="eastAsia" w:ascii="宋体" w:hAnsi="宋体"/>
          <w:color w:val="000000"/>
          <w:sz w:val="18"/>
          <w:szCs w:val="18"/>
          <w:u w:val="single"/>
        </w:rPr>
        <w:t xml:space="preserve">              </w:t>
      </w:r>
      <w:r>
        <w:rPr>
          <w:rFonts w:hint="eastAsia"/>
        </w:rPr>
        <w:t>元/年，用于包含首次系统开通、设置、店铺设计、店铺搭建、培训等，相关费用可以以等价免费房来抵扣。</w:t>
      </w:r>
    </w:p>
    <w:p>
      <w:pPr>
        <w:spacing w:before="97"/>
        <w:ind w:firstLine="480"/>
      </w:pPr>
      <w:r>
        <w:rPr>
          <w:rFonts w:hint="eastAsia"/>
        </w:rPr>
        <w:t>（2）乙方按照甲方在乙方系统产生的实际订单收取费用：</w:t>
      </w:r>
    </w:p>
    <w:p>
      <w:pPr>
        <w:spacing w:before="97"/>
        <w:ind w:firstLine="480"/>
      </w:pPr>
      <w:r>
        <w:rPr>
          <w:rFonts w:hint="eastAsia"/>
        </w:rPr>
        <w:t>①平台交易佣金：甲方在乙方系统销售的交易额的</w:t>
      </w:r>
      <w:r>
        <w:rPr>
          <w:rFonts w:hint="eastAsia" w:ascii="宋体" w:hAnsi="宋体"/>
          <w:color w:val="000000"/>
          <w:sz w:val="18"/>
          <w:szCs w:val="18"/>
          <w:u w:val="single"/>
        </w:rPr>
        <w:t xml:space="preserve">      </w:t>
      </w:r>
      <w:r>
        <w:rPr>
          <w:rFonts w:hint="eastAsia"/>
          <w:u w:val="single"/>
        </w:rPr>
        <w:t xml:space="preserve"> </w:t>
      </w:r>
      <w:r>
        <w:rPr>
          <w:rFonts w:hint="eastAsia"/>
        </w:rPr>
        <w:t>%。</w:t>
      </w:r>
    </w:p>
    <w:p>
      <w:pPr>
        <w:spacing w:before="97"/>
        <w:ind w:firstLine="480"/>
      </w:pPr>
      <w:r>
        <w:rPr>
          <w:rFonts w:hint="eastAsia"/>
        </w:rPr>
        <w:t>②第三方支付费用：甲方在乙方搭建平台的微信付款订单交易额的</w:t>
      </w:r>
      <w:r>
        <w:rPr>
          <w:rFonts w:hint="eastAsia" w:ascii="宋体" w:hAnsi="宋体"/>
          <w:color w:val="000000"/>
          <w:sz w:val="18"/>
          <w:szCs w:val="18"/>
          <w:u w:val="single"/>
        </w:rPr>
        <w:t xml:space="preserve">      </w:t>
      </w:r>
      <w:r>
        <w:rPr>
          <w:rFonts w:hint="eastAsia"/>
          <w:u w:val="single"/>
        </w:rPr>
        <w:t xml:space="preserve"> </w:t>
      </w:r>
      <w:r>
        <w:rPr>
          <w:rFonts w:hint="eastAsia"/>
        </w:rPr>
        <w:t>%。</w:t>
      </w:r>
    </w:p>
    <w:p>
      <w:pPr>
        <w:spacing w:before="97"/>
        <w:ind w:firstLine="480"/>
      </w:pPr>
      <w:r>
        <w:t>注</w:t>
      </w:r>
      <w:r>
        <w:rPr>
          <w:rFonts w:hint="eastAsia"/>
        </w:rPr>
        <w:t>：甲方在平台内销售产品价格由甲方自行定价。乙方向甲方提供信息技术服务费发票。</w:t>
      </w:r>
    </w:p>
    <w:p>
      <w:pPr>
        <w:spacing w:before="97"/>
        <w:ind w:firstLine="480"/>
      </w:pPr>
      <w:r>
        <w:rPr>
          <w:rFonts w:hint="eastAsia"/>
        </w:rPr>
        <w:t>（3）增值服务，双方另行商定服务协议，费用另议，由双方以书面形式确认。</w:t>
      </w:r>
    </w:p>
    <w:p>
      <w:pPr>
        <w:spacing w:before="97"/>
        <w:ind w:firstLine="482"/>
        <w:rPr>
          <w:b/>
        </w:rPr>
      </w:pPr>
      <w:r>
        <w:rPr>
          <w:rFonts w:hint="eastAsia"/>
          <w:b/>
        </w:rPr>
        <w:t>2、结算周期</w:t>
      </w:r>
    </w:p>
    <w:p>
      <w:pPr>
        <w:spacing w:before="97"/>
        <w:ind w:firstLine="480"/>
      </w:pPr>
      <w:r>
        <w:t>双方确定</w:t>
      </w:r>
      <w:r>
        <w:rPr>
          <w:rFonts w:hint="eastAsia"/>
        </w:rPr>
        <w:t>乙</w:t>
      </w:r>
      <w:r>
        <w:t>方的服务费</w:t>
      </w:r>
      <w:r>
        <w:rPr>
          <w:rFonts w:hint="eastAsia"/>
        </w:rPr>
        <w:t>按月进行结算</w:t>
      </w:r>
      <w:r>
        <w:t>。</w:t>
      </w:r>
    </w:p>
    <w:p>
      <w:pPr>
        <w:spacing w:before="97"/>
        <w:ind w:firstLine="482"/>
        <w:rPr>
          <w:b/>
        </w:rPr>
      </w:pPr>
      <w:r>
        <w:rPr>
          <w:rFonts w:hint="eastAsia"/>
          <w:b/>
        </w:rPr>
        <w:t>3、结算货币</w:t>
      </w:r>
    </w:p>
    <w:p>
      <w:pPr>
        <w:spacing w:before="97"/>
        <w:ind w:firstLine="480"/>
      </w:pPr>
      <w:r>
        <w:rPr>
          <w:rFonts w:hint="eastAsia"/>
        </w:rPr>
        <w:t>双方确定乙方的服务费以人民币为单位进行结算。</w:t>
      </w:r>
    </w:p>
    <w:p>
      <w:pPr>
        <w:spacing w:before="97"/>
        <w:ind w:firstLine="482"/>
        <w:rPr>
          <w:b/>
        </w:rPr>
      </w:pPr>
      <w:r>
        <w:rPr>
          <w:rFonts w:hint="eastAsia"/>
          <w:b/>
        </w:rPr>
        <w:t>4、结算的内容与方式</w:t>
      </w:r>
    </w:p>
    <w:p>
      <w:pPr>
        <w:spacing w:before="97"/>
        <w:ind w:firstLine="480"/>
      </w:pPr>
      <w:r>
        <w:rPr>
          <w:rFonts w:hint="eastAsia"/>
        </w:rPr>
        <w:t>（1）日历房预付商品，消费者通过微信支付后，乙方将在消费者付款当天（T+0）分账到对应甲方微信企业帐户，并由甲方提现（订单金额的_</w:t>
      </w:r>
      <w:r>
        <w:t>__%</w:t>
      </w:r>
      <w:r>
        <w:rPr>
          <w:rFonts w:hint="eastAsia"/>
        </w:rPr>
        <w:t>）到</w:t>
      </w:r>
      <w:r>
        <w:rPr>
          <w:rFonts w:hint="eastAsia"/>
          <w:kern w:val="0"/>
        </w:rPr>
        <w:t>乙</w:t>
      </w:r>
      <w:r>
        <w:rPr>
          <w:rFonts w:hint="eastAsia"/>
        </w:rPr>
        <w:t>方对公银行账户。</w:t>
      </w:r>
    </w:p>
    <w:p>
      <w:pPr>
        <w:spacing w:before="97"/>
        <w:ind w:firstLine="480"/>
      </w:pPr>
      <w:r>
        <w:rPr>
          <w:rFonts w:hint="eastAsia"/>
        </w:rPr>
        <w:t>（2）商城普通预付商品，消费者通过微信支付后，乙方将在消费者付款当天（T+0）分账到对应甲方微信企业帐户，并由甲方提现(如1</w:t>
      </w:r>
      <w:r>
        <w:t>)</w:t>
      </w:r>
      <w:r>
        <w:rPr>
          <w:rFonts w:hint="eastAsia"/>
        </w:rPr>
        <w:t>到</w:t>
      </w:r>
      <w:r>
        <w:rPr>
          <w:rFonts w:hint="eastAsia"/>
          <w:kern w:val="0"/>
        </w:rPr>
        <w:t>乙</w:t>
      </w:r>
      <w:r>
        <w:rPr>
          <w:rFonts w:hint="eastAsia"/>
        </w:rPr>
        <w:t>方对公银行账户。</w:t>
      </w:r>
    </w:p>
    <w:p>
      <w:pPr>
        <w:spacing w:before="97"/>
        <w:ind w:firstLine="480"/>
      </w:pPr>
      <w:r>
        <w:rPr>
          <w:rFonts w:hint="eastAsia"/>
        </w:rPr>
        <w:t>（3）商城预售商品，乙方将在消费者核销后次日（T+1）分账到对应甲方帐户，并由甲方提现(如1</w:t>
      </w:r>
      <w:r>
        <w:t>)</w:t>
      </w:r>
      <w:r>
        <w:rPr>
          <w:rFonts w:hint="eastAsia"/>
        </w:rPr>
        <w:t>到</w:t>
      </w:r>
      <w:r>
        <w:rPr>
          <w:rFonts w:hint="eastAsia"/>
          <w:kern w:val="0"/>
        </w:rPr>
        <w:t>乙</w:t>
      </w:r>
      <w:r>
        <w:rPr>
          <w:rFonts w:hint="eastAsia"/>
        </w:rPr>
        <w:t>方对公银行账户。</w:t>
      </w:r>
    </w:p>
    <w:p>
      <w:pPr>
        <w:spacing w:before="97"/>
        <w:ind w:firstLine="480"/>
      </w:pPr>
      <w:r>
        <w:rPr>
          <w:rFonts w:hint="eastAsia"/>
        </w:rPr>
        <w:t>（4）同业B2B分销或公共仓分销商品，由甲方直接与分销商结算。</w:t>
      </w:r>
    </w:p>
    <w:p>
      <w:pPr>
        <w:spacing w:before="97"/>
        <w:ind w:firstLine="480"/>
      </w:pPr>
      <w:r>
        <w:rPr>
          <w:rFonts w:hint="eastAsia"/>
        </w:rPr>
        <w:t>（5）营销奖励：甲方利用乙方平台给传播者的奖励费用仅限不可退商品，消费者通过微信支付后，乙方将在消费者付款当天（T+0）分账到传播者的达人帐户。有关营销费用由甲方设置，在分帐中自动扣除。</w:t>
      </w:r>
    </w:p>
    <w:p>
      <w:pPr>
        <w:spacing w:before="97"/>
        <w:ind w:firstLine="480"/>
      </w:pPr>
      <w:r>
        <w:rPr>
          <w:rFonts w:hint="eastAsia"/>
        </w:rPr>
        <w:t>（6）对于预付款并不可明确定位消费场所的商品（如集团通用储值卡），乙方将在消费者具体使用并核销后次日（T+1）分账到对应甲方帐户，并由甲方提现(如1</w:t>
      </w:r>
      <w:r>
        <w:t>)</w:t>
      </w:r>
      <w:r>
        <w:rPr>
          <w:rFonts w:hint="eastAsia"/>
        </w:rPr>
        <w:t>到</w:t>
      </w:r>
      <w:r>
        <w:rPr>
          <w:rFonts w:hint="eastAsia"/>
          <w:kern w:val="0"/>
        </w:rPr>
        <w:t>乙</w:t>
      </w:r>
      <w:r>
        <w:rPr>
          <w:rFonts w:hint="eastAsia"/>
        </w:rPr>
        <w:t>方对公银行账户。</w:t>
      </w:r>
    </w:p>
    <w:p>
      <w:pPr>
        <w:spacing w:before="97"/>
        <w:ind w:firstLine="480"/>
      </w:pPr>
      <w:r>
        <w:rPr>
          <w:rFonts w:hint="eastAsia"/>
        </w:rPr>
        <w:t>（</w:t>
      </w:r>
      <w:r>
        <w:t>7</w:t>
      </w:r>
      <w:r>
        <w:rPr>
          <w:rFonts w:hint="eastAsia"/>
        </w:rPr>
        <w:t>）甲方应于收到订单明细的7个工作日内就争议部分向乙方书面主张； 如甲方在收到订单明细的7个工作日未对上月订单明细书面主张异议，则乙方视为甲方对该明细没有异议，按本协议规定的给甲方开具增值税发票</w:t>
      </w:r>
    </w:p>
    <w:p>
      <w:pPr>
        <w:spacing w:before="97"/>
        <w:ind w:firstLine="482"/>
        <w:rPr>
          <w:b/>
        </w:rPr>
      </w:pPr>
      <w:r>
        <w:rPr>
          <w:b/>
        </w:rPr>
        <w:t>5</w:t>
      </w:r>
      <w:r>
        <w:rPr>
          <w:rFonts w:hint="eastAsia"/>
          <w:b/>
        </w:rPr>
        <w:t>、收款账户</w:t>
      </w:r>
    </w:p>
    <w:p>
      <w:pPr>
        <w:spacing w:before="97"/>
        <w:ind w:firstLine="480"/>
      </w:pPr>
      <w:r>
        <w:rPr>
          <w:rFonts w:hint="eastAsia"/>
        </w:rPr>
        <w:t>乙方收款账户信息如下：</w:t>
      </w:r>
    </w:p>
    <w:p>
      <w:pPr>
        <w:spacing w:before="97"/>
        <w:ind w:firstLine="480"/>
      </w:pPr>
      <w:r>
        <w:t>账户名称</w:t>
      </w:r>
      <w:r>
        <w:rPr>
          <w:rFonts w:hint="eastAsia"/>
        </w:rPr>
        <w:t>：</w:t>
      </w:r>
      <w:r>
        <w:rPr>
          <w:rFonts w:hint="eastAsia" w:ascii="宋体" w:hAnsi="宋体"/>
          <w:color w:val="000000"/>
          <w:sz w:val="18"/>
          <w:szCs w:val="18"/>
          <w:u w:val="single"/>
        </w:rPr>
        <w:t xml:space="preserve">                                                                  </w:t>
      </w:r>
    </w:p>
    <w:p>
      <w:pPr>
        <w:spacing w:before="97"/>
        <w:ind w:firstLine="480"/>
      </w:pPr>
      <w:r>
        <w:t>账号</w:t>
      </w:r>
      <w:r>
        <w:rPr>
          <w:rFonts w:hint="eastAsia"/>
        </w:rPr>
        <w:t>：</w:t>
      </w:r>
      <w:r>
        <w:rPr>
          <w:rFonts w:hint="eastAsia" w:ascii="宋体" w:hAnsi="宋体"/>
          <w:color w:val="000000"/>
          <w:sz w:val="18"/>
          <w:szCs w:val="18"/>
          <w:u w:val="single"/>
        </w:rPr>
        <w:t xml:space="preserve">                                                                        </w:t>
      </w:r>
    </w:p>
    <w:p>
      <w:pPr>
        <w:spacing w:before="97"/>
        <w:ind w:firstLine="480"/>
      </w:pPr>
      <w:r>
        <w:t>开户银行</w:t>
      </w:r>
      <w:r>
        <w:rPr>
          <w:rFonts w:hint="eastAsia"/>
        </w:rPr>
        <w:t>：</w:t>
      </w:r>
      <w:r>
        <w:rPr>
          <w:rFonts w:hint="eastAsia" w:ascii="宋体" w:hAnsi="宋体"/>
          <w:color w:val="000000"/>
          <w:sz w:val="18"/>
          <w:szCs w:val="18"/>
          <w:u w:val="single"/>
        </w:rPr>
        <w:t xml:space="preserve">                                                                   </w:t>
      </w:r>
    </w:p>
    <w:p>
      <w:pPr>
        <w:spacing w:before="97"/>
        <w:ind w:firstLine="480"/>
      </w:pPr>
      <w:r>
        <w:rPr>
          <w:rFonts w:hint="eastAsia"/>
        </w:rPr>
        <w:t>甲方方须确保提供给乙方的账户、开票及其他信息的正确性，否则由此引起的结果由甲方承担责任。如甲方变更如下收款账户信息应提前五个工作日告知对方，否则自行承担由此造成的损失。</w:t>
      </w:r>
    </w:p>
    <w:p>
      <w:pPr>
        <w:pStyle w:val="2"/>
        <w:numPr>
          <w:ilvl w:val="0"/>
          <w:numId w:val="1"/>
        </w:numPr>
        <w:spacing w:before="326"/>
        <w:ind w:left="0" w:firstLine="482"/>
      </w:pPr>
      <w:r>
        <w:rPr>
          <w:rFonts w:hint="eastAsia"/>
        </w:rPr>
        <w:t>合作期限</w:t>
      </w:r>
    </w:p>
    <w:p>
      <w:pPr>
        <w:pStyle w:val="19"/>
        <w:numPr>
          <w:ilvl w:val="0"/>
          <w:numId w:val="2"/>
        </w:numPr>
        <w:spacing w:before="97"/>
        <w:ind w:firstLineChars="0"/>
        <w:rPr>
          <w:bCs/>
        </w:rPr>
      </w:pPr>
      <w:r>
        <w:rPr>
          <w:rFonts w:hint="eastAsia"/>
          <w:bCs/>
        </w:rPr>
        <w:t>双方的合作期限自</w:t>
      </w:r>
      <w:r>
        <w:rPr>
          <w:rFonts w:hint="eastAsia" w:ascii="宋体" w:hAnsi="宋体"/>
          <w:color w:val="000000"/>
          <w:sz w:val="18"/>
          <w:szCs w:val="18"/>
          <w:u w:val="single"/>
        </w:rPr>
        <w:t xml:space="preserve">                       </w:t>
      </w:r>
      <w:r>
        <w:rPr>
          <w:rFonts w:hint="eastAsia"/>
          <w:bCs/>
        </w:rPr>
        <w:t>起至</w:t>
      </w:r>
      <w:r>
        <w:rPr>
          <w:rFonts w:hint="eastAsia" w:ascii="宋体" w:hAnsi="宋体"/>
          <w:color w:val="000000"/>
          <w:sz w:val="18"/>
          <w:szCs w:val="18"/>
          <w:u w:val="single"/>
        </w:rPr>
        <w:t xml:space="preserve">                       </w:t>
      </w:r>
      <w:r>
        <w:rPr>
          <w:rFonts w:hint="eastAsia"/>
          <w:bCs/>
        </w:rPr>
        <w:t>止；</w:t>
      </w:r>
    </w:p>
    <w:p>
      <w:pPr>
        <w:pStyle w:val="19"/>
        <w:numPr>
          <w:ilvl w:val="0"/>
          <w:numId w:val="2"/>
        </w:numPr>
        <w:spacing w:before="97"/>
        <w:ind w:firstLineChars="0"/>
        <w:rPr>
          <w:bCs/>
        </w:rPr>
      </w:pPr>
      <w:r>
        <w:rPr>
          <w:bCs/>
        </w:rPr>
        <w:t>本协议有效期一年，协议期满后，若双方无异议，视同本合同期限自动</w:t>
      </w:r>
      <w:r>
        <w:rPr>
          <w:rFonts w:hint="eastAsia"/>
          <w:bCs/>
        </w:rPr>
        <w:t>延长一年。</w:t>
      </w:r>
    </w:p>
    <w:p>
      <w:pPr>
        <w:pStyle w:val="19"/>
        <w:numPr>
          <w:ilvl w:val="0"/>
          <w:numId w:val="2"/>
        </w:numPr>
        <w:spacing w:before="97"/>
        <w:ind w:firstLineChars="0"/>
      </w:pPr>
      <w:r>
        <w:rPr>
          <w:rFonts w:hint="eastAsia"/>
        </w:rPr>
        <w:t>如双方未在协议到期前一个月内提出针对双方合作的异议或调整的，则协议自动续期。如任意一方提出异议的，双方应协商是否续期。</w:t>
      </w:r>
    </w:p>
    <w:p>
      <w:pPr>
        <w:pStyle w:val="19"/>
        <w:numPr>
          <w:ilvl w:val="0"/>
          <w:numId w:val="2"/>
        </w:numPr>
        <w:spacing w:before="97"/>
        <w:ind w:firstLineChars="0"/>
      </w:pPr>
      <w:r>
        <w:rPr>
          <w:rFonts w:hint="eastAsia"/>
        </w:rPr>
        <w:t>就本协议合作之内容，如甲方有多个潜在合作对象，在同等条件下，甲方应当优先选择与乙方合作。</w:t>
      </w:r>
    </w:p>
    <w:p>
      <w:pPr>
        <w:pStyle w:val="2"/>
        <w:numPr>
          <w:ilvl w:val="0"/>
          <w:numId w:val="1"/>
        </w:numPr>
        <w:spacing w:before="326"/>
        <w:ind w:left="0" w:firstLine="482"/>
      </w:pPr>
      <w:r>
        <w:rPr>
          <w:rFonts w:hint="eastAsia"/>
        </w:rPr>
        <w:t>双方的权利义务</w:t>
      </w:r>
    </w:p>
    <w:p>
      <w:pPr>
        <w:spacing w:before="97"/>
        <w:ind w:firstLine="480"/>
      </w:pPr>
      <w:r>
        <w:rPr>
          <w:rFonts w:hint="eastAsia"/>
        </w:rPr>
        <w:t>1、甲方有义务应乙方要求向乙方提供真实正确的企业信息、资质证书和资料进行核查并承担相关责任。</w:t>
      </w:r>
    </w:p>
    <w:p>
      <w:pPr>
        <w:spacing w:before="97"/>
        <w:ind w:firstLine="480"/>
      </w:pPr>
      <w:r>
        <w:t>2</w:t>
      </w:r>
      <w:r>
        <w:rPr>
          <w:rFonts w:hint="eastAsia"/>
        </w:rPr>
        <w:t>、因战争、自然灾害、政府行为等非因甲方原因导致的互联网系统故障、互联网通讯提供商故障、黑客攻击或电力部门技术调整或故障等不可抗力因素，或因政策变化或甲方业务方向调整导致的甲方无法履行本协议义务的，甲方无须承担责任。</w:t>
      </w:r>
    </w:p>
    <w:p>
      <w:pPr>
        <w:spacing w:before="97"/>
        <w:ind w:firstLine="480"/>
      </w:pPr>
      <w:r>
        <w:t>3</w:t>
      </w:r>
      <w:r>
        <w:rPr>
          <w:rFonts w:hint="eastAsia"/>
        </w:rPr>
        <w:t>、在市场环境遇到严重外部影响，且非乙方之力所能解决的，乙方有权提出绩效目标重新修订，双方协商确定新目标。</w:t>
      </w:r>
    </w:p>
    <w:p>
      <w:pPr>
        <w:spacing w:before="97"/>
        <w:ind w:firstLine="480"/>
      </w:pPr>
      <w:r>
        <w:t>4</w:t>
      </w:r>
      <w:r>
        <w:rPr>
          <w:rFonts w:hint="eastAsia"/>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pPr>
        <w:spacing w:before="97"/>
        <w:ind w:firstLine="480"/>
      </w:pPr>
      <w:r>
        <w:t>5</w:t>
      </w:r>
      <w:r>
        <w:rPr>
          <w:rFonts w:hint="eastAsia"/>
        </w:rPr>
        <w:t>、乙方有责任确保所提供的系统的稳定性，如果因为乙方系统原因导致甲方的实际损失，乙方将负责相应的赔偿。</w:t>
      </w:r>
    </w:p>
    <w:p>
      <w:pPr>
        <w:spacing w:before="97"/>
        <w:ind w:firstLine="480"/>
      </w:pPr>
      <w:r>
        <w:t>6</w:t>
      </w:r>
      <w:r>
        <w:rPr>
          <w:rFonts w:hint="eastAsia"/>
        </w:rPr>
        <w:t>、乙方在未得到甲方授权的情况下，不得将甲方留存在乙方的数据信息用于和甲方业务无关的事宜。</w:t>
      </w:r>
    </w:p>
    <w:p>
      <w:pPr>
        <w:spacing w:before="97"/>
        <w:ind w:firstLine="480"/>
      </w:pPr>
      <w:r>
        <w:rPr>
          <w:rFonts w:hint="eastAsia"/>
        </w:rPr>
        <w:t>【补充】</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r>
        <w:rPr>
          <w:rFonts w:hint="eastAsia" w:ascii="宋体" w:hAnsi="宋体"/>
          <w:color w:val="000000"/>
          <w:sz w:val="18"/>
          <w:szCs w:val="18"/>
          <w:u w:val="single"/>
        </w:rPr>
        <w:t xml:space="preserve">                                                                           </w:t>
      </w:r>
    </w:p>
    <w:p>
      <w:pPr>
        <w:spacing w:before="0" w:beforeLines="0"/>
        <w:ind w:firstLine="480"/>
        <w:rPr>
          <w:rFonts w:ascii="宋体" w:hAnsi="宋体"/>
          <w:color w:val="000000"/>
          <w:sz w:val="18"/>
          <w:szCs w:val="18"/>
          <w:u w:val="single"/>
        </w:rPr>
      </w:pPr>
      <w:r>
        <w:rPr>
          <w:rFonts w:hint="eastAsia"/>
        </w:rPr>
        <w:t>联系地址：</w:t>
      </w:r>
      <w:r>
        <w:rPr>
          <w:rFonts w:hint="eastAsia" w:ascii="宋体" w:hAnsi="宋体"/>
          <w:color w:val="000000"/>
          <w:sz w:val="18"/>
          <w:szCs w:val="18"/>
          <w:u w:val="single"/>
        </w:rPr>
        <w:t xml:space="preserve">                                                                        </w:t>
      </w:r>
    </w:p>
    <w:p>
      <w:pPr>
        <w:spacing w:before="0" w:beforeLines="0"/>
        <w:ind w:firstLine="480"/>
      </w:pPr>
      <w:r>
        <w:rPr>
          <w:rFonts w:hint="eastAsia"/>
        </w:rPr>
        <w:t>邮编：</w:t>
      </w:r>
      <w:r>
        <w:rPr>
          <w:rFonts w:hint="eastAsia" w:ascii="宋体" w:hAnsi="宋体"/>
          <w:color w:val="000000"/>
          <w:sz w:val="18"/>
          <w:szCs w:val="18"/>
          <w:u w:val="single"/>
        </w:rPr>
        <w:t xml:space="preserve">                                                                              </w:t>
      </w:r>
    </w:p>
    <w:p>
      <w:pPr>
        <w:spacing w:before="0" w:beforeLines="0"/>
        <w:ind w:firstLine="480"/>
      </w:pPr>
      <w:r>
        <w:rPr>
          <w:rFonts w:hint="eastAsia"/>
        </w:rPr>
        <w:t>电话：</w:t>
      </w:r>
      <w:r>
        <w:rPr>
          <w:rFonts w:hint="eastAsia" w:ascii="宋体" w:hAnsi="宋体"/>
          <w:color w:val="000000"/>
          <w:sz w:val="18"/>
          <w:szCs w:val="18"/>
          <w:u w:val="single"/>
        </w:rPr>
        <w:t xml:space="preserve">                                                                              </w:t>
      </w:r>
    </w:p>
    <w:p>
      <w:pPr>
        <w:spacing w:before="0" w:beforeLines="0"/>
        <w:ind w:firstLine="480"/>
      </w:pPr>
      <w:r>
        <w:rPr>
          <w:rFonts w:hint="eastAsia"/>
        </w:rPr>
        <w:t>传真：</w:t>
      </w:r>
      <w:r>
        <w:rPr>
          <w:rFonts w:hint="eastAsia" w:ascii="宋体" w:hAnsi="宋体"/>
          <w:color w:val="000000"/>
          <w:sz w:val="18"/>
          <w:szCs w:val="18"/>
          <w:u w:val="single"/>
        </w:rPr>
        <w:t xml:space="preserve">                                                                              </w:t>
      </w:r>
    </w:p>
    <w:p>
      <w:pPr>
        <w:spacing w:before="0" w:beforeLines="0"/>
        <w:ind w:firstLine="480"/>
      </w:pPr>
      <w:r>
        <w:t>邮箱</w:t>
      </w:r>
      <w:r>
        <w:rPr>
          <w:rFonts w:hint="eastAsia"/>
        </w:rPr>
        <w:t>：</w:t>
      </w:r>
      <w:r>
        <w:rPr>
          <w:rFonts w:hint="eastAsia" w:ascii="宋体" w:hAnsi="宋体"/>
          <w:color w:val="000000"/>
          <w:sz w:val="18"/>
          <w:szCs w:val="18"/>
          <w:u w:val="single"/>
        </w:rPr>
        <w:t xml:space="preserve">                                                                              </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r>
        <w:t xml:space="preserve"> </w:t>
      </w:r>
    </w:p>
    <w:p>
      <w:pPr>
        <w:spacing w:before="0" w:beforeLines="0"/>
        <w:ind w:firstLine="480"/>
      </w:pPr>
      <w:r>
        <w:rPr>
          <w:rFonts w:hint="eastAsia"/>
        </w:rPr>
        <w:t>联系地址：【广州市天河区黄埔大道西638号1802-1804】</w:t>
      </w:r>
    </w:p>
    <w:p>
      <w:pPr>
        <w:spacing w:before="0" w:beforeLines="0"/>
        <w:ind w:firstLine="480"/>
      </w:pPr>
      <w:r>
        <w:rPr>
          <w:rFonts w:hint="eastAsia"/>
        </w:rPr>
        <w:t>邮编：5</w:t>
      </w:r>
      <w:r>
        <w:t>10627</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4、本协议中所有协议条款均属商业秘密，一方在未经另一方书面许可的情况下，不能以任何理由向第三方透露。</w:t>
      </w:r>
    </w:p>
    <w:p>
      <w:pPr>
        <w:spacing w:before="97"/>
        <w:ind w:firstLine="480"/>
      </w:pPr>
      <w:r>
        <w:t>5</w:t>
      </w:r>
      <w:r>
        <w:rPr>
          <w:rFonts w:hint="eastAsia"/>
        </w:rPr>
        <w:t>、一方违反本条约定的，若视为严重违约。守约方有权以书面形式通知违约方单方终止本协议，同时保留依法采取进一步法律措施的权利，违约方应承担由此给守约方带来的一切损失。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w:t>
      </w:r>
      <w:r>
        <w:t>一方向另一方提供的</w:t>
      </w:r>
      <w:r>
        <w:rPr>
          <w:rFonts w:hint="eastAsia"/>
        </w:rPr>
        <w:t>企业名称、商标、商号、品牌、域名、网站、</w:t>
      </w:r>
      <w:r>
        <w:t>文件</w:t>
      </w:r>
      <w:r>
        <w:rPr>
          <w:rFonts w:hint="eastAsia"/>
        </w:rPr>
        <w:t>、图片、视频或其他</w:t>
      </w:r>
      <w:r>
        <w:t>商业资料应当确保不侵犯任何第三方的权益</w:t>
      </w:r>
      <w:r>
        <w:rPr>
          <w:rFonts w:hint="eastAsia"/>
        </w:rPr>
        <w:t>。</w:t>
      </w:r>
    </w:p>
    <w:p>
      <w:pPr>
        <w:spacing w:before="97"/>
        <w:ind w:firstLine="480"/>
      </w:pPr>
      <w:r>
        <w:t>2</w:t>
      </w:r>
      <w:r>
        <w:rPr>
          <w:rFonts w:hint="eastAsia"/>
        </w:rPr>
        <w:t>、一方在使用另一方的企业名称、商标、商号、品牌、域名、网站或其他商业资料时，应当完全只限于履行本协议中约定的权利义务内容，不得夹带其它业务内容或经营目的。</w:t>
      </w:r>
    </w:p>
    <w:p>
      <w:pPr>
        <w:spacing w:before="97"/>
        <w:ind w:firstLine="480"/>
      </w:pPr>
      <w:r>
        <w:t>3</w:t>
      </w:r>
      <w:r>
        <w:rPr>
          <w:rFonts w:hint="eastAsia"/>
        </w:rPr>
        <w:t>、一方可以未经另一方允许在自身的宣传资料中使用另一方的企业名称、商标、商号、品牌、域名和网站，但在使用后应当及时告知另一方。</w:t>
      </w:r>
    </w:p>
    <w:p>
      <w:pPr>
        <w:spacing w:before="97"/>
        <w:ind w:firstLine="480"/>
      </w:pPr>
      <w:r>
        <w:t>4</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bookmarkStart w:id="0" w:name="_GoBack"/>
      <w:bookmarkEnd w:id="0"/>
    </w:p>
    <w:p>
      <w:pPr>
        <w:spacing w:before="97"/>
        <w:ind w:firstLine="480"/>
      </w:pPr>
      <w:r>
        <w:rPr>
          <w:rFonts w:hint="eastAsia"/>
        </w:rPr>
        <w:t>1、双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spacing w:before="97"/>
        <w:ind w:firstLine="480"/>
      </w:pPr>
      <w:r>
        <w:rPr>
          <w:rFonts w:hint="eastAsia"/>
        </w:rPr>
        <w:t>3、本条不因本协议无效、终止、解除或履行完成而失效。</w:t>
      </w:r>
    </w:p>
    <w:p>
      <w:pPr>
        <w:pStyle w:val="2"/>
        <w:numPr>
          <w:ilvl w:val="0"/>
          <w:numId w:val="1"/>
        </w:numPr>
        <w:spacing w:before="326"/>
        <w:ind w:left="0" w:firstLine="482"/>
      </w:pPr>
      <w:r>
        <w:t>权利让与</w:t>
      </w:r>
    </w:p>
    <w:p>
      <w:pPr>
        <w:spacing w:before="97"/>
        <w:ind w:firstLine="480"/>
      </w:pPr>
      <w:r>
        <w:rPr>
          <w:rFonts w:hint="eastAsia"/>
        </w:rPr>
        <w:t>除法律规定及本协议约定情形外，任何一方在未经另一方事先书面同意的情况下，均不得将本协议项下地位或本协议项下权利义务向第三方转让、提供担保或以其他方法进行处分，亦不得让第三方承继。</w:t>
      </w:r>
    </w:p>
    <w:p>
      <w:pPr>
        <w:pStyle w:val="2"/>
        <w:numPr>
          <w:ilvl w:val="0"/>
          <w:numId w:val="1"/>
        </w:numPr>
        <w:spacing w:before="326"/>
        <w:ind w:left="0" w:firstLine="482"/>
      </w:pPr>
      <w:r>
        <w:rPr>
          <w:rFonts w:hint="eastAsia"/>
        </w:rPr>
        <w:t>违约责任</w:t>
      </w:r>
    </w:p>
    <w:p>
      <w:pPr>
        <w:spacing w:before="97"/>
        <w:ind w:firstLine="480"/>
      </w:pPr>
      <w:r>
        <w:rPr>
          <w:rFonts w:hint="eastAsia"/>
        </w:rPr>
        <w:t>1、一方违反本协议所规定的义务，违约方在收到守约方要求纠正其违约行为的书面通知之日，应立即停止其违约行为，并在10日内赔偿守约方因此受到的所有损失。如违约方继续违约行为或不履行其义务，守约方有权单方终止</w:t>
      </w:r>
    </w:p>
    <w:p>
      <w:pPr>
        <w:spacing w:before="97"/>
        <w:ind w:firstLine="480"/>
      </w:pPr>
      <w:r>
        <w:rPr>
          <w:rFonts w:hint="eastAsia"/>
        </w:rPr>
        <w:t>2、</w:t>
      </w: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、除本协议另有约定外，下列情况下，一方向另一方提出变更、解除或终止本协议的请求的双方应立即就协议的变更、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（2）由于旅行行业管理机构的行为而导致本协议无法继续履行；</w:t>
      </w:r>
    </w:p>
    <w:p>
      <w:pPr>
        <w:spacing w:before="0" w:beforeLines="0"/>
        <w:ind w:firstLine="480"/>
      </w:pPr>
      <w:r>
        <w:rPr>
          <w:rFonts w:hint="eastAsia"/>
        </w:rPr>
        <w:t>（3）一方政府主管部门的行政费用发生变化，使得该方无法继续开展业务。</w:t>
      </w:r>
    </w:p>
    <w:p>
      <w:pPr>
        <w:spacing w:before="0" w:beforeLines="0"/>
        <w:ind w:firstLine="480"/>
      </w:pPr>
      <w:r>
        <w:rPr>
          <w:rFonts w:hint="eastAsia"/>
        </w:rPr>
        <w:t>若双方协商无法达成一致，则本协议自一方提出书面终止要求一个月之后终止。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spacing w:before="97"/>
        <w:ind w:firstLine="480"/>
      </w:pPr>
      <w:r>
        <w:rPr>
          <w:rFonts w:hint="eastAsia"/>
        </w:rPr>
        <w:t>4、若不可抗力事件致使本协议履行延期超过一个月的，本协议任何一方有权书面通知另一方立即终止本协议而无需承担违约责任。</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pgSz w:w="11906" w:h="16838"/>
      <w:pgMar w:top="1440" w:right="1800" w:bottom="1440" w:left="1800" w:header="283"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8"/>
      </w:pBdr>
      <w:spacing w:before="72"/>
      <w:ind w:firstLine="360"/>
    </w:pPr>
  </w:p>
  <w:p>
    <w:pPr>
      <w:pStyle w:val="7"/>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7903B2"/>
    <w:multiLevelType w:val="multilevel"/>
    <w:tmpl w:val="3D7903B2"/>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42675"/>
    <w:rsid w:val="00046CA3"/>
    <w:rsid w:val="00081F69"/>
    <w:rsid w:val="00087CF3"/>
    <w:rsid w:val="000A61DF"/>
    <w:rsid w:val="000C1217"/>
    <w:rsid w:val="000C3C7B"/>
    <w:rsid w:val="000C6C0C"/>
    <w:rsid w:val="000F3F0C"/>
    <w:rsid w:val="00104A89"/>
    <w:rsid w:val="001161DC"/>
    <w:rsid w:val="001172A8"/>
    <w:rsid w:val="001271E0"/>
    <w:rsid w:val="001C4F7F"/>
    <w:rsid w:val="001D3ECC"/>
    <w:rsid w:val="001E3E0A"/>
    <w:rsid w:val="001F71D3"/>
    <w:rsid w:val="00202CF0"/>
    <w:rsid w:val="00226F80"/>
    <w:rsid w:val="002422F5"/>
    <w:rsid w:val="00254B04"/>
    <w:rsid w:val="0027540B"/>
    <w:rsid w:val="002A3701"/>
    <w:rsid w:val="002C63AE"/>
    <w:rsid w:val="002D0BEE"/>
    <w:rsid w:val="002D1E35"/>
    <w:rsid w:val="00302E2A"/>
    <w:rsid w:val="00325D87"/>
    <w:rsid w:val="00332E67"/>
    <w:rsid w:val="00387A1C"/>
    <w:rsid w:val="003B3663"/>
    <w:rsid w:val="003D26AC"/>
    <w:rsid w:val="0043693B"/>
    <w:rsid w:val="0044162D"/>
    <w:rsid w:val="00472EE9"/>
    <w:rsid w:val="00474E36"/>
    <w:rsid w:val="004950F9"/>
    <w:rsid w:val="004B61A9"/>
    <w:rsid w:val="004C3A20"/>
    <w:rsid w:val="004C3A43"/>
    <w:rsid w:val="004D3246"/>
    <w:rsid w:val="004E71B2"/>
    <w:rsid w:val="00504174"/>
    <w:rsid w:val="00515F45"/>
    <w:rsid w:val="00520F3C"/>
    <w:rsid w:val="00524307"/>
    <w:rsid w:val="005406CD"/>
    <w:rsid w:val="00551E38"/>
    <w:rsid w:val="00553AE0"/>
    <w:rsid w:val="0055505E"/>
    <w:rsid w:val="005A662B"/>
    <w:rsid w:val="005B04CF"/>
    <w:rsid w:val="005B4C06"/>
    <w:rsid w:val="005D3704"/>
    <w:rsid w:val="005D5DA3"/>
    <w:rsid w:val="005E46E6"/>
    <w:rsid w:val="005E5D1C"/>
    <w:rsid w:val="005F7311"/>
    <w:rsid w:val="0060023E"/>
    <w:rsid w:val="00627199"/>
    <w:rsid w:val="006E2615"/>
    <w:rsid w:val="007034FE"/>
    <w:rsid w:val="00704840"/>
    <w:rsid w:val="00712C8C"/>
    <w:rsid w:val="00733340"/>
    <w:rsid w:val="0074794B"/>
    <w:rsid w:val="00787153"/>
    <w:rsid w:val="00795649"/>
    <w:rsid w:val="00796273"/>
    <w:rsid w:val="007A3188"/>
    <w:rsid w:val="007E76C7"/>
    <w:rsid w:val="008066C8"/>
    <w:rsid w:val="00846F94"/>
    <w:rsid w:val="008474D0"/>
    <w:rsid w:val="00867879"/>
    <w:rsid w:val="00875737"/>
    <w:rsid w:val="008C0A36"/>
    <w:rsid w:val="008C5B20"/>
    <w:rsid w:val="008D1225"/>
    <w:rsid w:val="009057E8"/>
    <w:rsid w:val="00924A53"/>
    <w:rsid w:val="009376E3"/>
    <w:rsid w:val="009414AE"/>
    <w:rsid w:val="00945DB1"/>
    <w:rsid w:val="009D1F9D"/>
    <w:rsid w:val="009E5463"/>
    <w:rsid w:val="009F0060"/>
    <w:rsid w:val="00A02CAA"/>
    <w:rsid w:val="00A267DD"/>
    <w:rsid w:val="00A374F1"/>
    <w:rsid w:val="00A41252"/>
    <w:rsid w:val="00A563D4"/>
    <w:rsid w:val="00A63107"/>
    <w:rsid w:val="00A87627"/>
    <w:rsid w:val="00A9528C"/>
    <w:rsid w:val="00AB63A9"/>
    <w:rsid w:val="00AC5416"/>
    <w:rsid w:val="00AD7A47"/>
    <w:rsid w:val="00B454DF"/>
    <w:rsid w:val="00B54642"/>
    <w:rsid w:val="00B65422"/>
    <w:rsid w:val="00B826A5"/>
    <w:rsid w:val="00B867AD"/>
    <w:rsid w:val="00BB50D2"/>
    <w:rsid w:val="00BE484E"/>
    <w:rsid w:val="00BF2AEE"/>
    <w:rsid w:val="00C1063B"/>
    <w:rsid w:val="00C166B4"/>
    <w:rsid w:val="00C37821"/>
    <w:rsid w:val="00C52B0E"/>
    <w:rsid w:val="00C52B3C"/>
    <w:rsid w:val="00C712FC"/>
    <w:rsid w:val="00C7501F"/>
    <w:rsid w:val="00CA11BE"/>
    <w:rsid w:val="00CB4777"/>
    <w:rsid w:val="00CF6E94"/>
    <w:rsid w:val="00D158A2"/>
    <w:rsid w:val="00D166BF"/>
    <w:rsid w:val="00D17547"/>
    <w:rsid w:val="00D30A72"/>
    <w:rsid w:val="00D33495"/>
    <w:rsid w:val="00D3554A"/>
    <w:rsid w:val="00D4100A"/>
    <w:rsid w:val="00D663F4"/>
    <w:rsid w:val="00D8595E"/>
    <w:rsid w:val="00D9704A"/>
    <w:rsid w:val="00DA2F47"/>
    <w:rsid w:val="00DD6CCB"/>
    <w:rsid w:val="00E0649F"/>
    <w:rsid w:val="00E20D7E"/>
    <w:rsid w:val="00E22483"/>
    <w:rsid w:val="00E254EC"/>
    <w:rsid w:val="00E41782"/>
    <w:rsid w:val="00E965D7"/>
    <w:rsid w:val="00EC1CB8"/>
    <w:rsid w:val="00EC6C0A"/>
    <w:rsid w:val="00ED48D7"/>
    <w:rsid w:val="00F100F8"/>
    <w:rsid w:val="00F22126"/>
    <w:rsid w:val="00F37B4A"/>
    <w:rsid w:val="00F73186"/>
    <w:rsid w:val="00F93D04"/>
    <w:rsid w:val="00F96695"/>
    <w:rsid w:val="00FA2F72"/>
    <w:rsid w:val="00FC058B"/>
    <w:rsid w:val="00FC72AE"/>
    <w:rsid w:val="00FD26D8"/>
    <w:rsid w:val="00FF2058"/>
    <w:rsid w:val="646E30B0"/>
    <w:rsid w:val="7224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uiPriority w:val="99"/>
    <w:pPr>
      <w:spacing w:before="0" w:line="240" w:lineRule="auto"/>
    </w:pPr>
    <w:rPr>
      <w:sz w:val="18"/>
      <w:szCs w:val="18"/>
    </w:rPr>
  </w:style>
  <w:style w:type="paragraph" w:styleId="6">
    <w:name w:val="footer"/>
    <w:basedOn w:val="1"/>
    <w:link w:val="21"/>
    <w:unhideWhenUsed/>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标题 字符"/>
    <w:basedOn w:val="13"/>
    <w:link w:val="9"/>
    <w:uiPriority w:val="10"/>
    <w:rPr>
      <w:rFonts w:eastAsia="宋体" w:asciiTheme="majorHAnsi" w:hAnsiTheme="majorHAnsi" w:cstheme="majorBidi"/>
      <w:b/>
      <w:bCs/>
      <w:sz w:val="36"/>
      <w:szCs w:val="32"/>
    </w:rPr>
  </w:style>
  <w:style w:type="character" w:customStyle="1" w:styleId="16">
    <w:name w:val="标题 2 字符"/>
    <w:basedOn w:val="13"/>
    <w:link w:val="3"/>
    <w:qFormat/>
    <w:uiPriority w:val="9"/>
    <w:rPr>
      <w:rFonts w:ascii="Times New Roman" w:hAnsi="Times New Roman" w:eastAsia="宋体" w:cstheme="majorBidi"/>
      <w:b/>
      <w:bCs/>
      <w:sz w:val="28"/>
      <w:szCs w:val="32"/>
    </w:rPr>
  </w:style>
  <w:style w:type="character" w:customStyle="1" w:styleId="17">
    <w:name w:val="标题 1 字符"/>
    <w:basedOn w:val="13"/>
    <w:link w:val="2"/>
    <w:uiPriority w:val="9"/>
    <w:rPr>
      <w:rFonts w:ascii="Times New Roman" w:hAnsi="Times New Roman" w:eastAsia="宋体"/>
      <w:b/>
      <w:bCs/>
      <w:kern w:val="44"/>
      <w:sz w:val="24"/>
      <w:szCs w:val="44"/>
    </w:rPr>
  </w:style>
  <w:style w:type="character" w:customStyle="1" w:styleId="18">
    <w:name w:val="副标题 字符"/>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字符"/>
    <w:basedOn w:val="13"/>
    <w:link w:val="7"/>
    <w:qFormat/>
    <w:uiPriority w:val="99"/>
    <w:rPr>
      <w:rFonts w:ascii="Times New Roman" w:hAnsi="Times New Roman" w:eastAsia="宋体"/>
      <w:sz w:val="18"/>
      <w:szCs w:val="18"/>
    </w:rPr>
  </w:style>
  <w:style w:type="character" w:customStyle="1" w:styleId="21">
    <w:name w:val="页脚 字符"/>
    <w:basedOn w:val="13"/>
    <w:link w:val="6"/>
    <w:qFormat/>
    <w:uiPriority w:val="99"/>
    <w:rPr>
      <w:rFonts w:ascii="Times New Roman" w:hAnsi="Times New Roman" w:eastAsia="宋体"/>
      <w:sz w:val="18"/>
      <w:szCs w:val="18"/>
    </w:rPr>
  </w:style>
  <w:style w:type="character" w:customStyle="1" w:styleId="22">
    <w:name w:val="批注文字 字符"/>
    <w:basedOn w:val="13"/>
    <w:link w:val="4"/>
    <w:semiHidden/>
    <w:qFormat/>
    <w:uiPriority w:val="99"/>
    <w:rPr>
      <w:rFonts w:ascii="Times New Roman" w:hAnsi="Times New Roman" w:eastAsia="宋体"/>
      <w:sz w:val="24"/>
    </w:rPr>
  </w:style>
  <w:style w:type="character" w:customStyle="1" w:styleId="23">
    <w:name w:val="批注框文本 字符"/>
    <w:basedOn w:val="13"/>
    <w:link w:val="5"/>
    <w:semiHidden/>
    <w:qFormat/>
    <w:uiPriority w:val="99"/>
    <w:rPr>
      <w:rFonts w:ascii="Times New Roman" w:hAnsi="Times New Roman" w:eastAsia="宋体"/>
      <w:sz w:val="18"/>
      <w:szCs w:val="18"/>
    </w:rPr>
  </w:style>
  <w:style w:type="character" w:customStyle="1" w:styleId="24">
    <w:name w:val="批注主题 字符"/>
    <w:basedOn w:val="22"/>
    <w:link w:val="10"/>
    <w:semiHidden/>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E3527-E235-40A7-8858-D4DE1003D266}">
  <ds:schemaRefs/>
</ds:datastoreItem>
</file>

<file path=docProps/app.xml><?xml version="1.0" encoding="utf-8"?>
<Properties xmlns="http://schemas.openxmlformats.org/officeDocument/2006/extended-properties" xmlns:vt="http://schemas.openxmlformats.org/officeDocument/2006/docPropsVTypes">
  <Template>Normal</Template>
  <Pages>11</Pages>
  <Words>1144</Words>
  <Characters>6521</Characters>
  <Lines>54</Lines>
  <Paragraphs>15</Paragraphs>
  <TotalTime>10</TotalTime>
  <ScaleCrop>false</ScaleCrop>
  <LinksUpToDate>false</LinksUpToDate>
  <CharactersWithSpaces>7650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2020-11-10T12:17:00Z</dcterms:created>
  <dc:creator>GF</dc:creator>
  <cp:lastModifiedBy>May.YL</cp:lastModifiedBy>
  <dcterms:modified xsi:type="dcterms:W3CDTF">2020-11-26T08:05:44Z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