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pStyle w:val="9"/>
        <w:spacing w:before="97"/>
        <w:ind w:firstLine="2143" w:firstLineChars="667"/>
        <w:jc w:val="both"/>
        <w:rPr>
          <w:sz w:val="32"/>
        </w:rPr>
      </w:pPr>
      <w:r>
        <w:rPr>
          <w:rFonts w:hint="eastAsia"/>
          <w:sz w:val="32"/>
        </w:rPr>
        <w:t>广州汇登信息科技有限公司</w:t>
      </w:r>
    </w:p>
    <w:p>
      <w:pPr>
        <w:pStyle w:val="9"/>
        <w:rPr>
          <w:szCs w:val="36"/>
        </w:rPr>
      </w:pPr>
      <w:r>
        <w:rPr>
          <w:rFonts w:hint="eastAsia"/>
          <w:szCs w:val="36"/>
        </w:rPr>
        <w:t>【汇趣游】文旅分销系统的服务协议</w:t>
      </w:r>
    </w:p>
    <w:p>
      <w:pPr>
        <w:spacing w:before="97"/>
        <w:ind w:firstLine="420"/>
        <w:rPr>
          <w:sz w:val="21"/>
          <w:szCs w:val="21"/>
        </w:rPr>
      </w:pPr>
    </w:p>
    <w:p>
      <w:pPr>
        <w:spacing w:before="97"/>
        <w:ind w:firstLine="420"/>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0" w:leftChars="0" w:firstLine="3150" w:firstLineChars="1500"/>
        <w:jc w:val="left"/>
        <w:rPr>
          <w:sz w:val="21"/>
          <w:szCs w:val="21"/>
        </w:rPr>
      </w:pPr>
      <w:r>
        <w:rPr>
          <w:rFonts w:hint="eastAsia"/>
          <w:sz w:val="21"/>
          <w:szCs w:val="21"/>
        </w:rPr>
        <w:t>甲方协议编号：</w:t>
      </w:r>
    </w:p>
    <w:p>
      <w:pPr>
        <w:spacing w:before="97"/>
        <w:ind w:firstLine="3150" w:firstLineChars="1500"/>
        <w:rPr>
          <w:rFonts w:hint="eastAsia"/>
          <w:sz w:val="21"/>
          <w:szCs w:val="21"/>
        </w:rPr>
      </w:pPr>
    </w:p>
    <w:p>
      <w:pPr>
        <w:spacing w:before="97"/>
        <w:ind w:firstLine="3150" w:firstLineChars="1500"/>
        <w:rPr>
          <w:sz w:val="21"/>
          <w:szCs w:val="21"/>
        </w:rPr>
      </w:pPr>
      <w:bookmarkStart w:id="1" w:name="_GoBack"/>
      <w:bookmarkEnd w:id="1"/>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3373" w:firstLineChars="1600"/>
        <w:rPr>
          <w:b/>
          <w:sz w:val="21"/>
          <w:szCs w:val="21"/>
        </w:rPr>
      </w:pPr>
      <w:r>
        <w:rPr>
          <w:b/>
          <w:sz w:val="21"/>
          <w:szCs w:val="21"/>
        </w:rPr>
        <w:t xml:space="preserve">2021 </w:t>
      </w:r>
      <w:r>
        <w:rPr>
          <w:rFonts w:hint="eastAsia"/>
          <w:b/>
          <w:sz w:val="21"/>
          <w:szCs w:val="21"/>
        </w:rPr>
        <w:t>广州</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highlight w:val="none"/>
        </w:rPr>
      </w:pPr>
      <w:r>
        <w:rPr>
          <w:rFonts w:hint="eastAsia"/>
          <w:sz w:val="21"/>
          <w:szCs w:val="21"/>
          <w:highlight w:val="none"/>
        </w:rPr>
        <w:t>甲方：</w:t>
      </w:r>
      <w:r>
        <w:rPr>
          <w:rFonts w:ascii="宋体" w:hAnsi="宋体"/>
          <w:color w:val="000000"/>
          <w:sz w:val="21"/>
          <w:szCs w:val="21"/>
          <w:highlight w:val="none"/>
          <w:u w:val="single"/>
        </w:rPr>
        <w:t xml:space="preserve">  </w:t>
      </w:r>
      <w:r>
        <w:rPr>
          <w:sz w:val="21"/>
          <w:szCs w:val="21"/>
          <w:highlight w:val="none"/>
        </w:rPr>
        <w:t xml:space="preserve">   </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法定代表人：</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注册地址：</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联系电话：</w:t>
      </w:r>
      <w:r>
        <w:rPr>
          <w:rFonts w:ascii="宋体" w:hAnsi="宋体"/>
          <w:color w:val="000000"/>
          <w:sz w:val="21"/>
          <w:szCs w:val="21"/>
          <w:highlight w:val="none"/>
          <w:u w:val="single"/>
        </w:rPr>
        <w:t xml:space="preserve">                                                                         </w:t>
      </w:r>
    </w:p>
    <w:p>
      <w:pPr>
        <w:spacing w:before="489" w:beforeLines="150"/>
        <w:ind w:firstLine="420"/>
        <w:rPr>
          <w:sz w:val="21"/>
          <w:szCs w:val="21"/>
          <w:highlight w:val="none"/>
        </w:rPr>
      </w:pPr>
      <w:r>
        <w:rPr>
          <w:rFonts w:hint="eastAsia"/>
          <w:sz w:val="21"/>
          <w:szCs w:val="21"/>
          <w:highlight w:val="none"/>
        </w:rPr>
        <w:t>乙方：广州汇登信息科技有限公司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97"/>
        <w:ind w:firstLine="420"/>
        <w:rPr>
          <w:sz w:val="21"/>
          <w:szCs w:val="21"/>
        </w:rPr>
      </w:pP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w:t>
      </w:r>
      <w:r>
        <w:rPr>
          <w:rFonts w:hint="eastAsia"/>
          <w:sz w:val="21"/>
          <w:szCs w:val="21"/>
          <w:u w:val="single"/>
        </w:rPr>
        <w:t>简要说明所从事的行业类型、特点、产品内容</w:t>
      </w:r>
      <w:r>
        <w:rPr>
          <w:rFonts w:hint="eastAsia"/>
          <w:sz w:val="21"/>
          <w:szCs w:val="21"/>
        </w:rPr>
        <w:t>】</w:t>
      </w:r>
    </w:p>
    <w:p>
      <w:pPr>
        <w:spacing w:before="97"/>
        <w:ind w:firstLine="420"/>
        <w:rPr>
          <w:sz w:val="21"/>
          <w:szCs w:val="21"/>
        </w:rPr>
      </w:pPr>
      <w:r>
        <w:rPr>
          <w:rFonts w:hint="eastAsia"/>
          <w:sz w:val="21"/>
          <w:szCs w:val="21"/>
        </w:rPr>
        <w:t>乙方为一家专业为酒店、旅行社、景区等文旅企业为提供多元化的分销渠道，快速对接旅行社、</w:t>
      </w:r>
      <w:r>
        <w:rPr>
          <w:sz w:val="21"/>
          <w:szCs w:val="21"/>
        </w:rPr>
        <w:t>OTA</w:t>
      </w:r>
      <w:r>
        <w:rPr>
          <w:rFonts w:hint="eastAsia"/>
          <w:sz w:val="21"/>
          <w:szCs w:val="21"/>
        </w:rPr>
        <w:t>电商、同业分销平台等线上线下渠道，为旅游产品供应商和分销商提供高效便捷的在线供应链体验的专业机构，主要从事酒店、景点门票等文旅产品的营销、分销等业务。</w:t>
      </w:r>
    </w:p>
    <w:p>
      <w:pPr>
        <w:spacing w:before="163" w:beforeLines="50" w:line="360" w:lineRule="auto"/>
        <w:ind w:firstLine="420"/>
        <w:rPr>
          <w:sz w:val="21"/>
          <w:szCs w:val="21"/>
        </w:rPr>
      </w:pPr>
      <w:r>
        <w:rPr>
          <w:rFonts w:hint="eastAsia"/>
          <w:sz w:val="21"/>
          <w:szCs w:val="21"/>
        </w:rPr>
        <w:t>为更好提升甲方的品牌影响力，拓宽市场销售渠道，增加甲方的整体收益水平，经友好协商，双方达成本合作协议，形由乙方向甲方提供面向中国市场的专业运营及销售平台服务，并收取相应服务费用。甲乙双方本着平等、自愿、双赢的原则，经过充分友好协商，就【汇客宝】文旅分销系统服务为主的服务合作达成如下协议：</w:t>
      </w:r>
    </w:p>
    <w:p>
      <w:pPr>
        <w:spacing w:before="97"/>
        <w:ind w:firstLine="420"/>
        <w:rPr>
          <w:sz w:val="21"/>
          <w:szCs w:val="21"/>
        </w:rPr>
      </w:pPr>
      <w:r>
        <w:rPr>
          <w:rFonts w:hint="eastAsia"/>
          <w:sz w:val="21"/>
          <w:szCs w:val="21"/>
        </w:rPr>
        <w:t>具体合作内容如下：</w:t>
      </w:r>
    </w:p>
    <w:p>
      <w:pPr>
        <w:pStyle w:val="2"/>
        <w:numPr>
          <w:ilvl w:val="0"/>
          <w:numId w:val="1"/>
        </w:numPr>
        <w:spacing w:before="326"/>
        <w:ind w:left="0" w:firstLine="422"/>
        <w:rPr>
          <w:sz w:val="21"/>
          <w:szCs w:val="21"/>
        </w:rPr>
      </w:pPr>
      <w:r>
        <w:rPr>
          <w:rFonts w:hint="eastAsia"/>
          <w:sz w:val="21"/>
          <w:szCs w:val="21"/>
        </w:rPr>
        <w:t>合作内容</w:t>
      </w:r>
    </w:p>
    <w:p>
      <w:pPr>
        <w:spacing w:before="0" w:beforeLines="0"/>
        <w:ind w:firstLine="420"/>
        <w:rPr>
          <w:sz w:val="21"/>
          <w:szCs w:val="21"/>
        </w:rPr>
      </w:pPr>
      <w:r>
        <w:rPr>
          <w:sz w:val="21"/>
          <w:szCs w:val="21"/>
        </w:rPr>
        <w:t>1</w:t>
      </w:r>
      <w:r>
        <w:rPr>
          <w:rFonts w:hint="eastAsia"/>
          <w:sz w:val="21"/>
          <w:szCs w:val="21"/>
        </w:rPr>
        <w:t>、乙方为甲方提供文旅分销系统平台服务，甲方将利用乙方提供的文旅分销系统平台，销售酒店、门票、餐饮券等文旅类产品。</w:t>
      </w:r>
    </w:p>
    <w:p>
      <w:pPr>
        <w:spacing w:before="0" w:beforeLines="0"/>
        <w:ind w:firstLine="420"/>
        <w:rPr>
          <w:sz w:val="21"/>
          <w:szCs w:val="21"/>
        </w:rPr>
      </w:pPr>
      <w:r>
        <w:rPr>
          <w:sz w:val="21"/>
          <w:szCs w:val="21"/>
        </w:rPr>
        <w:t>3</w:t>
      </w:r>
      <w:r>
        <w:rPr>
          <w:rFonts w:hint="eastAsia"/>
          <w:sz w:val="21"/>
          <w:szCs w:val="21"/>
        </w:rPr>
        <w:t>、合作模式：</w:t>
      </w:r>
    </w:p>
    <w:p>
      <w:pPr>
        <w:spacing w:before="0" w:beforeLines="0"/>
        <w:ind w:firstLine="420"/>
        <w:rPr>
          <w:sz w:val="21"/>
          <w:szCs w:val="21"/>
        </w:rPr>
      </w:pPr>
      <w:r>
        <w:rPr>
          <w:rFonts w:hint="eastAsia"/>
          <w:sz w:val="21"/>
          <w:szCs w:val="21"/>
        </w:rPr>
        <w:t>（</w:t>
      </w:r>
      <w:r>
        <w:rPr>
          <w:sz w:val="21"/>
          <w:szCs w:val="21"/>
        </w:rPr>
        <w:t>1</w:t>
      </w:r>
      <w:r>
        <w:rPr>
          <w:rFonts w:hint="eastAsia"/>
          <w:sz w:val="21"/>
          <w:szCs w:val="21"/>
        </w:rPr>
        <w:t>）乙方提供给甲方一套产品和交易后台管理系统，包括但不限于：官方</w:t>
      </w:r>
      <w:r>
        <w:rPr>
          <w:sz w:val="21"/>
          <w:szCs w:val="21"/>
        </w:rPr>
        <w:t>H5</w:t>
      </w:r>
      <w:r>
        <w:rPr>
          <w:rFonts w:hint="eastAsia"/>
          <w:sz w:val="21"/>
          <w:szCs w:val="21"/>
        </w:rPr>
        <w:t>微商城、官方小程序、达人分销系统、客户关系管理系统、营销管理系统、</w:t>
      </w:r>
      <w:r>
        <w:rPr>
          <w:sz w:val="21"/>
          <w:szCs w:val="21"/>
        </w:rPr>
        <w:t>OTA</w:t>
      </w:r>
      <w:r>
        <w:rPr>
          <w:rFonts w:hint="eastAsia"/>
          <w:sz w:val="21"/>
          <w:szCs w:val="21"/>
        </w:rPr>
        <w:t>价格管理系统、</w:t>
      </w:r>
      <w:r>
        <w:rPr>
          <w:sz w:val="21"/>
          <w:szCs w:val="21"/>
        </w:rPr>
        <w:t>B2B</w:t>
      </w:r>
      <w:r>
        <w:rPr>
          <w:rFonts w:hint="eastAsia"/>
          <w:sz w:val="21"/>
          <w:szCs w:val="21"/>
        </w:rPr>
        <w:t>同业分销系统、订单管理系统等（系统全部功能参见乙方手册列明的功能明细），以实现帮助甲方拓宽并有效管理销售渠道，建立网络官方旗舰店，最终全面提升甲方营收的目的。</w:t>
      </w:r>
    </w:p>
    <w:p>
      <w:pPr>
        <w:spacing w:before="0" w:beforeLines="0"/>
        <w:ind w:firstLine="420"/>
        <w:rPr>
          <w:sz w:val="21"/>
          <w:szCs w:val="21"/>
        </w:rPr>
      </w:pPr>
      <w:r>
        <w:rPr>
          <w:rFonts w:hint="eastAsia"/>
          <w:sz w:val="21"/>
          <w:szCs w:val="21"/>
        </w:rPr>
        <w:t>（</w:t>
      </w:r>
      <w:r>
        <w:rPr>
          <w:sz w:val="21"/>
          <w:szCs w:val="21"/>
        </w:rPr>
        <w:t>2</w:t>
      </w:r>
      <w:r>
        <w:rPr>
          <w:rFonts w:hint="eastAsia"/>
          <w:sz w:val="21"/>
          <w:szCs w:val="21"/>
        </w:rPr>
        <w:t>）为实现甲方消费者的在线预定和交易，乙方为甲方开发基于手机平台的官网用户端平台；使得用户端平台具备酒店产品查询、预定、在线支付和会员信息查询等功能。</w:t>
      </w:r>
    </w:p>
    <w:p>
      <w:pPr>
        <w:spacing w:before="0" w:beforeLines="0"/>
        <w:ind w:firstLine="420"/>
        <w:rPr>
          <w:sz w:val="21"/>
          <w:szCs w:val="21"/>
        </w:rPr>
      </w:pPr>
      <w:r>
        <w:rPr>
          <w:rFonts w:hint="eastAsia"/>
          <w:sz w:val="21"/>
          <w:szCs w:val="21"/>
        </w:rPr>
        <w:t>（</w:t>
      </w:r>
      <w:r>
        <w:rPr>
          <w:sz w:val="21"/>
          <w:szCs w:val="21"/>
        </w:rPr>
        <w:t>3</w:t>
      </w:r>
      <w:r>
        <w:rPr>
          <w:rFonts w:hint="eastAsia"/>
          <w:sz w:val="21"/>
          <w:szCs w:val="21"/>
        </w:rPr>
        <w:t>）乙方接受甲方委托，为甲方的微信服务号提供产品交易运营服务以全面提升微信商城的交易能力，包括：产品设计、交易流程规划和员工培训等。</w:t>
      </w:r>
    </w:p>
    <w:p>
      <w:pPr>
        <w:spacing w:before="0" w:beforeLines="0"/>
        <w:ind w:firstLine="420"/>
        <w:rPr>
          <w:sz w:val="21"/>
          <w:szCs w:val="21"/>
        </w:rPr>
      </w:pPr>
      <w:r>
        <w:rPr>
          <w:rFonts w:hint="eastAsia"/>
          <w:sz w:val="21"/>
          <w:szCs w:val="21"/>
        </w:rPr>
        <w:t>（</w:t>
      </w:r>
      <w:r>
        <w:rPr>
          <w:sz w:val="21"/>
          <w:szCs w:val="21"/>
        </w:rPr>
        <w:t>4</w:t>
      </w:r>
      <w:r>
        <w:rPr>
          <w:rFonts w:hint="eastAsia"/>
          <w:sz w:val="21"/>
          <w:szCs w:val="21"/>
        </w:rPr>
        <w:t>）系统使用规则和有关账号密码由乙方提供，通过甲方用户名和密码发送的各类系统服务请求，即视为经甲方确认的行为（包括且不限于将自身产品通过系统进行销售、引用系统中其他商家的产品进行销售、订单发送、订单处理等），需甲方承担责任。</w:t>
      </w:r>
    </w:p>
    <w:p>
      <w:pPr>
        <w:spacing w:before="0" w:beforeLines="0"/>
        <w:ind w:firstLine="420"/>
        <w:rPr>
          <w:sz w:val="21"/>
          <w:szCs w:val="21"/>
        </w:rPr>
      </w:pPr>
      <w:r>
        <w:rPr>
          <w:rFonts w:hint="eastAsia"/>
          <w:sz w:val="21"/>
          <w:szCs w:val="21"/>
        </w:rPr>
        <w:t>（</w:t>
      </w:r>
      <w:r>
        <w:rPr>
          <w:sz w:val="21"/>
          <w:szCs w:val="21"/>
        </w:rPr>
        <w:t>5</w:t>
      </w:r>
      <w:r>
        <w:rPr>
          <w:rFonts w:hint="eastAsia"/>
          <w:sz w:val="21"/>
          <w:szCs w:val="21"/>
        </w:rPr>
        <w:t>）乙方提供给甲方自动分账和收款结算功能，但甲方需提供必要的资质证明材料（企业营业执照和法人身份证明等）到乙方指定银行申请开通结算。</w:t>
      </w:r>
    </w:p>
    <w:p>
      <w:pPr>
        <w:spacing w:before="0" w:beforeLines="0"/>
        <w:ind w:firstLine="420"/>
        <w:rPr>
          <w:sz w:val="21"/>
          <w:szCs w:val="21"/>
        </w:rPr>
      </w:pPr>
      <w:r>
        <w:rPr>
          <w:sz w:val="21"/>
          <w:szCs w:val="21"/>
        </w:rPr>
        <w:t>4</w:t>
      </w:r>
      <w:r>
        <w:rPr>
          <w:rFonts w:hint="eastAsia"/>
          <w:sz w:val="21"/>
          <w:szCs w:val="21"/>
        </w:rPr>
        <w:t>、增值服务</w:t>
      </w:r>
    </w:p>
    <w:p>
      <w:pPr>
        <w:spacing w:before="0" w:beforeLines="0"/>
        <w:ind w:firstLine="420"/>
        <w:rPr>
          <w:sz w:val="21"/>
          <w:szCs w:val="21"/>
        </w:rPr>
      </w:pPr>
      <w:r>
        <w:rPr>
          <w:rFonts w:hint="eastAsia"/>
          <w:sz w:val="21"/>
          <w:szCs w:val="21"/>
        </w:rPr>
        <w:t>乙方在合作过程中可以根据甲方需求向甲方提供增值服务包括：</w:t>
      </w:r>
    </w:p>
    <w:tbl>
      <w:tblPr>
        <w:tblStyle w:val="1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161"/>
        <w:gridCol w:w="5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9" w:type="dxa"/>
          </w:tcPr>
          <w:p>
            <w:pPr>
              <w:spacing w:before="0" w:beforeLines="0"/>
              <w:ind w:firstLine="0" w:firstLineChars="0"/>
              <w:jc w:val="center"/>
              <w:rPr>
                <w:b/>
                <w:bCs/>
                <w:sz w:val="21"/>
                <w:szCs w:val="21"/>
              </w:rPr>
            </w:pPr>
            <w:r>
              <w:rPr>
                <w:rFonts w:hint="eastAsia"/>
                <w:b/>
                <w:bCs/>
                <w:sz w:val="21"/>
                <w:szCs w:val="21"/>
              </w:rPr>
              <w:t>序号</w:t>
            </w:r>
          </w:p>
        </w:tc>
        <w:tc>
          <w:tcPr>
            <w:tcW w:w="2161" w:type="dxa"/>
          </w:tcPr>
          <w:p>
            <w:pPr>
              <w:spacing w:before="0" w:beforeLines="0"/>
              <w:ind w:firstLine="0" w:firstLineChars="0"/>
              <w:jc w:val="center"/>
              <w:rPr>
                <w:b/>
                <w:bCs/>
                <w:sz w:val="21"/>
                <w:szCs w:val="21"/>
              </w:rPr>
            </w:pPr>
            <w:r>
              <w:rPr>
                <w:rFonts w:hint="eastAsia"/>
                <w:b/>
                <w:bCs/>
                <w:sz w:val="21"/>
                <w:szCs w:val="21"/>
              </w:rPr>
              <w:t>服务内容</w:t>
            </w:r>
          </w:p>
        </w:tc>
        <w:tc>
          <w:tcPr>
            <w:tcW w:w="5786" w:type="dxa"/>
          </w:tcPr>
          <w:p>
            <w:pPr>
              <w:spacing w:before="0" w:beforeLines="0"/>
              <w:ind w:firstLine="0" w:firstLineChars="0"/>
              <w:jc w:val="center"/>
              <w:rPr>
                <w:b/>
                <w:bCs/>
                <w:sz w:val="21"/>
                <w:szCs w:val="21"/>
              </w:rPr>
            </w:pPr>
            <w:r>
              <w:rPr>
                <w:rFonts w:hint="eastAsia"/>
                <w:b/>
                <w:bCs/>
                <w:sz w:val="21"/>
                <w:szCs w:val="21"/>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69" w:type="dxa"/>
            <w:vAlign w:val="center"/>
          </w:tcPr>
          <w:p>
            <w:pPr>
              <w:spacing w:before="0" w:beforeLines="0"/>
              <w:ind w:firstLine="0" w:firstLineChars="0"/>
              <w:jc w:val="center"/>
              <w:rPr>
                <w:sz w:val="21"/>
                <w:szCs w:val="21"/>
              </w:rPr>
            </w:pPr>
            <w:r>
              <w:rPr>
                <w:sz w:val="21"/>
                <w:szCs w:val="21"/>
              </w:rPr>
              <w:t>1</w:t>
            </w:r>
          </w:p>
        </w:tc>
        <w:tc>
          <w:tcPr>
            <w:tcW w:w="2161" w:type="dxa"/>
            <w:vAlign w:val="center"/>
          </w:tcPr>
          <w:p>
            <w:pPr>
              <w:spacing w:before="0" w:beforeLines="0"/>
              <w:ind w:firstLine="0" w:firstLineChars="0"/>
              <w:jc w:val="center"/>
              <w:rPr>
                <w:sz w:val="21"/>
                <w:szCs w:val="21"/>
              </w:rPr>
            </w:pPr>
            <w:r>
              <w:rPr>
                <w:rFonts w:hint="eastAsia"/>
                <w:sz w:val="21"/>
                <w:szCs w:val="21"/>
              </w:rPr>
              <w:t>媒体运营及</w:t>
            </w:r>
          </w:p>
          <w:p>
            <w:pPr>
              <w:spacing w:before="0" w:beforeLines="0"/>
              <w:ind w:firstLine="0" w:firstLineChars="0"/>
              <w:jc w:val="center"/>
              <w:rPr>
                <w:sz w:val="21"/>
                <w:szCs w:val="21"/>
              </w:rPr>
            </w:pPr>
            <w:r>
              <w:rPr>
                <w:rFonts w:hint="eastAsia"/>
                <w:sz w:val="21"/>
                <w:szCs w:val="21"/>
              </w:rPr>
              <w:t>营销服务</w:t>
            </w:r>
          </w:p>
        </w:tc>
        <w:tc>
          <w:tcPr>
            <w:tcW w:w="5786" w:type="dxa"/>
            <w:vAlign w:val="center"/>
          </w:tcPr>
          <w:p>
            <w:pPr>
              <w:spacing w:before="0" w:beforeLines="0"/>
              <w:ind w:firstLine="0" w:firstLineChars="0"/>
              <w:rPr>
                <w:sz w:val="21"/>
                <w:szCs w:val="21"/>
              </w:rPr>
            </w:pPr>
            <w:r>
              <w:rPr>
                <w:rFonts w:hint="eastAsia"/>
                <w:sz w:val="21"/>
                <w:szCs w:val="21"/>
              </w:rPr>
              <w:t>运营酒店官方媒体号，包括内容创作、美工设计、短视频拍摄、新媒体运营、广告投放等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9" w:type="dxa"/>
            <w:vAlign w:val="center"/>
          </w:tcPr>
          <w:p>
            <w:pPr>
              <w:spacing w:before="0" w:beforeLines="0"/>
              <w:ind w:firstLine="0" w:firstLineChars="0"/>
              <w:jc w:val="center"/>
              <w:rPr>
                <w:sz w:val="21"/>
                <w:szCs w:val="21"/>
              </w:rPr>
            </w:pPr>
            <w:r>
              <w:rPr>
                <w:sz w:val="21"/>
                <w:szCs w:val="21"/>
              </w:rPr>
              <w:t>2</w:t>
            </w:r>
          </w:p>
        </w:tc>
        <w:tc>
          <w:tcPr>
            <w:tcW w:w="2161" w:type="dxa"/>
            <w:vAlign w:val="center"/>
          </w:tcPr>
          <w:p>
            <w:pPr>
              <w:spacing w:before="0" w:beforeLines="0"/>
              <w:ind w:firstLine="0" w:firstLineChars="0"/>
              <w:jc w:val="center"/>
              <w:rPr>
                <w:sz w:val="21"/>
                <w:szCs w:val="21"/>
              </w:rPr>
            </w:pPr>
            <w:r>
              <w:rPr>
                <w:rFonts w:hint="eastAsia"/>
                <w:sz w:val="21"/>
                <w:szCs w:val="21"/>
              </w:rPr>
              <w:t>系统功能定制</w:t>
            </w:r>
          </w:p>
        </w:tc>
        <w:tc>
          <w:tcPr>
            <w:tcW w:w="5786" w:type="dxa"/>
            <w:vAlign w:val="center"/>
          </w:tcPr>
          <w:p>
            <w:pPr>
              <w:spacing w:before="0" w:beforeLines="0"/>
              <w:ind w:firstLine="0" w:firstLineChars="0"/>
              <w:rPr>
                <w:sz w:val="21"/>
                <w:szCs w:val="21"/>
              </w:rPr>
            </w:pPr>
            <w:r>
              <w:rPr>
                <w:rFonts w:hint="eastAsia"/>
                <w:sz w:val="21"/>
                <w:szCs w:val="21"/>
              </w:rPr>
              <w:t>根据酒店实际情况，在原系统基础上开发额外功能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9" w:type="dxa"/>
            <w:vAlign w:val="center"/>
          </w:tcPr>
          <w:p>
            <w:pPr>
              <w:spacing w:before="0" w:beforeLines="0"/>
              <w:ind w:firstLine="0" w:firstLineChars="0"/>
              <w:jc w:val="center"/>
              <w:rPr>
                <w:sz w:val="21"/>
                <w:szCs w:val="21"/>
              </w:rPr>
            </w:pPr>
            <w:r>
              <w:rPr>
                <w:sz w:val="21"/>
                <w:szCs w:val="21"/>
              </w:rPr>
              <w:t>3</w:t>
            </w:r>
          </w:p>
        </w:tc>
        <w:tc>
          <w:tcPr>
            <w:tcW w:w="2161" w:type="dxa"/>
            <w:vAlign w:val="center"/>
          </w:tcPr>
          <w:p>
            <w:pPr>
              <w:spacing w:before="0" w:beforeLines="0"/>
              <w:ind w:firstLine="0" w:firstLineChars="0"/>
              <w:jc w:val="center"/>
              <w:rPr>
                <w:sz w:val="21"/>
                <w:szCs w:val="21"/>
              </w:rPr>
            </w:pPr>
            <w:r>
              <w:rPr>
                <w:rFonts w:hint="eastAsia"/>
                <w:sz w:val="21"/>
                <w:szCs w:val="21"/>
              </w:rPr>
              <w:t>其他</w:t>
            </w:r>
          </w:p>
        </w:tc>
        <w:tc>
          <w:tcPr>
            <w:tcW w:w="5786" w:type="dxa"/>
            <w:vAlign w:val="center"/>
          </w:tcPr>
          <w:p>
            <w:pPr>
              <w:spacing w:before="0" w:beforeLines="0"/>
              <w:ind w:firstLine="0" w:firstLineChars="0"/>
              <w:rPr>
                <w:sz w:val="21"/>
                <w:szCs w:val="21"/>
              </w:rPr>
            </w:pPr>
            <w:r>
              <w:rPr>
                <w:rFonts w:hint="eastAsia"/>
                <w:sz w:val="21"/>
                <w:szCs w:val="21"/>
              </w:rPr>
              <w:t>乙方根据甲方需求研发或自主研发的其他类型的服务</w:t>
            </w:r>
          </w:p>
        </w:tc>
      </w:tr>
    </w:tbl>
    <w:p>
      <w:pPr>
        <w:pStyle w:val="2"/>
        <w:numPr>
          <w:ilvl w:val="0"/>
          <w:numId w:val="1"/>
        </w:numPr>
        <w:spacing w:before="326"/>
        <w:ind w:left="0" w:firstLine="422"/>
        <w:rPr>
          <w:sz w:val="21"/>
          <w:szCs w:val="21"/>
        </w:rPr>
      </w:pPr>
      <w:r>
        <w:rPr>
          <w:rFonts w:hint="eastAsia"/>
          <w:sz w:val="21"/>
          <w:szCs w:val="21"/>
        </w:rPr>
        <w:t>服务费及结算</w:t>
      </w:r>
    </w:p>
    <w:p>
      <w:pPr>
        <w:spacing w:before="97"/>
        <w:ind w:firstLine="422"/>
        <w:rPr>
          <w:b/>
          <w:sz w:val="21"/>
          <w:szCs w:val="21"/>
        </w:rPr>
      </w:pPr>
      <w:r>
        <w:rPr>
          <w:b/>
          <w:sz w:val="21"/>
          <w:szCs w:val="21"/>
        </w:rPr>
        <w:t>1</w:t>
      </w:r>
      <w:r>
        <w:rPr>
          <w:rFonts w:hint="eastAsia"/>
          <w:b/>
          <w:sz w:val="21"/>
          <w:szCs w:val="21"/>
        </w:rPr>
        <w:t>、服务费计算</w:t>
      </w:r>
    </w:p>
    <w:p>
      <w:pPr>
        <w:spacing w:before="97"/>
        <w:ind w:firstLine="420"/>
        <w:rPr>
          <w:sz w:val="21"/>
          <w:szCs w:val="21"/>
        </w:rPr>
      </w:pPr>
      <w:r>
        <w:rPr>
          <w:rFonts w:hint="eastAsia"/>
          <w:sz w:val="21"/>
          <w:szCs w:val="21"/>
        </w:rPr>
        <w:t>双方一致同意，乙方收取的服务费按照以类别及标准计算：</w:t>
      </w:r>
    </w:p>
    <w:p>
      <w:pPr>
        <w:spacing w:before="97"/>
        <w:ind w:firstLine="420"/>
        <w:rPr>
          <w:sz w:val="21"/>
          <w:szCs w:val="21"/>
        </w:rPr>
      </w:pPr>
      <w:r>
        <w:rPr>
          <w:rFonts w:hint="eastAsia"/>
          <w:sz w:val="21"/>
          <w:szCs w:val="21"/>
        </w:rPr>
        <w:t>（</w:t>
      </w:r>
      <w:r>
        <w:rPr>
          <w:sz w:val="21"/>
          <w:szCs w:val="21"/>
        </w:rPr>
        <w:t>1</w:t>
      </w:r>
      <w:r>
        <w:rPr>
          <w:rFonts w:hint="eastAsia"/>
          <w:sz w:val="21"/>
          <w:szCs w:val="21"/>
        </w:rPr>
        <w:t>）技术服务费：乙方收取甲方人民币</w:t>
      </w:r>
      <w:r>
        <w:rPr>
          <w:rFonts w:ascii="宋体" w:hAnsi="宋体"/>
          <w:color w:val="000000"/>
          <w:sz w:val="21"/>
          <w:szCs w:val="21"/>
          <w:u w:val="single"/>
        </w:rPr>
        <w:t xml:space="preserve"> 【  /  】</w:t>
      </w:r>
      <w:r>
        <w:rPr>
          <w:rFonts w:hint="eastAsia"/>
          <w:sz w:val="21"/>
          <w:szCs w:val="21"/>
        </w:rPr>
        <w:t>元</w:t>
      </w:r>
      <w:r>
        <w:rPr>
          <w:sz w:val="21"/>
          <w:szCs w:val="21"/>
        </w:rPr>
        <w:t>/</w:t>
      </w:r>
      <w:r>
        <w:rPr>
          <w:rFonts w:hint="eastAsia"/>
          <w:sz w:val="21"/>
          <w:szCs w:val="21"/>
        </w:rPr>
        <w:t>年，用于包含首次系统开通、设置、店铺设计、店铺搭建、培训等，相关费用可以以等价免费房来抵扣。</w:t>
      </w:r>
    </w:p>
    <w:p>
      <w:pPr>
        <w:spacing w:before="97"/>
        <w:ind w:firstLine="420"/>
        <w:rPr>
          <w:sz w:val="21"/>
          <w:szCs w:val="21"/>
        </w:rPr>
      </w:pPr>
      <w:r>
        <w:rPr>
          <w:rFonts w:hint="eastAsia"/>
          <w:sz w:val="21"/>
          <w:szCs w:val="21"/>
        </w:rPr>
        <w:t>（</w:t>
      </w:r>
      <w:r>
        <w:rPr>
          <w:sz w:val="21"/>
          <w:szCs w:val="21"/>
        </w:rPr>
        <w:t>2</w:t>
      </w:r>
      <w:r>
        <w:rPr>
          <w:rFonts w:hint="eastAsia"/>
          <w:sz w:val="21"/>
          <w:szCs w:val="21"/>
        </w:rPr>
        <w:t>）乙方按照甲方在乙方系统产生的实际订单收取费用：</w:t>
      </w:r>
    </w:p>
    <w:p>
      <w:pPr>
        <w:spacing w:before="97"/>
        <w:ind w:firstLine="420"/>
        <w:rPr>
          <w:sz w:val="21"/>
          <w:szCs w:val="21"/>
        </w:rPr>
      </w:pPr>
      <w:r>
        <w:rPr>
          <w:rFonts w:hint="eastAsia"/>
          <w:sz w:val="21"/>
          <w:szCs w:val="21"/>
        </w:rPr>
        <w:t>①平台交易佣金：甲方在乙方系统销售的交易额的</w:t>
      </w:r>
      <w:r>
        <w:rPr>
          <w:rFonts w:ascii="宋体" w:hAnsi="宋体"/>
          <w:color w:val="000000"/>
          <w:sz w:val="21"/>
          <w:szCs w:val="21"/>
          <w:u w:val="single"/>
        </w:rPr>
        <w:t xml:space="preserve"> 【    2 】</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②第三方支付费用：甲方在乙方搭建平台的微信付款订单交易额的</w:t>
      </w:r>
      <w:r>
        <w:rPr>
          <w:rFonts w:ascii="宋体" w:hAnsi="宋体"/>
          <w:color w:val="000000"/>
          <w:sz w:val="21"/>
          <w:szCs w:val="21"/>
          <w:u w:val="single"/>
        </w:rPr>
        <w:t xml:space="preserve"> 【 1】</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注：甲方在平台内销售产品价格由甲方自行定价。乙方向甲方提供信息技术服务费发票。</w:t>
      </w:r>
    </w:p>
    <w:p>
      <w:pPr>
        <w:spacing w:before="97"/>
        <w:ind w:firstLine="420"/>
        <w:rPr>
          <w:sz w:val="21"/>
          <w:szCs w:val="21"/>
        </w:rPr>
      </w:pPr>
      <w:r>
        <w:rPr>
          <w:rFonts w:hint="eastAsia"/>
          <w:sz w:val="21"/>
          <w:szCs w:val="21"/>
        </w:rPr>
        <w:t>（</w:t>
      </w:r>
      <w:r>
        <w:rPr>
          <w:sz w:val="21"/>
          <w:szCs w:val="21"/>
        </w:rPr>
        <w:t>3</w:t>
      </w:r>
      <w:r>
        <w:rPr>
          <w:rFonts w:hint="eastAsia"/>
          <w:sz w:val="21"/>
          <w:szCs w:val="21"/>
        </w:rPr>
        <w:t>）增值服务，双方另行商定服务协议，费用另议，由双方以书面形式确认。</w:t>
      </w:r>
    </w:p>
    <w:p>
      <w:pPr>
        <w:spacing w:before="97"/>
        <w:ind w:firstLine="422"/>
        <w:rPr>
          <w:b/>
          <w:sz w:val="21"/>
          <w:szCs w:val="21"/>
        </w:rPr>
      </w:pPr>
      <w:r>
        <w:rPr>
          <w:b/>
          <w:sz w:val="21"/>
          <w:szCs w:val="21"/>
        </w:rPr>
        <w:t>2</w:t>
      </w:r>
      <w:r>
        <w:rPr>
          <w:rFonts w:hint="eastAsia"/>
          <w:b/>
          <w:sz w:val="21"/>
          <w:szCs w:val="21"/>
        </w:rPr>
        <w:t>、结算货币</w:t>
      </w:r>
    </w:p>
    <w:p>
      <w:pPr>
        <w:spacing w:before="97"/>
        <w:ind w:firstLine="420"/>
        <w:rPr>
          <w:sz w:val="21"/>
          <w:szCs w:val="21"/>
        </w:rPr>
      </w:pPr>
      <w:r>
        <w:rPr>
          <w:rFonts w:hint="eastAsia"/>
          <w:sz w:val="21"/>
          <w:szCs w:val="21"/>
        </w:rPr>
        <w:t>双方确定乙方的服务费以人民币为单位进行结算。</w:t>
      </w:r>
    </w:p>
    <w:p>
      <w:pPr>
        <w:spacing w:before="97"/>
        <w:ind w:firstLine="422"/>
        <w:rPr>
          <w:b/>
          <w:sz w:val="21"/>
          <w:szCs w:val="21"/>
        </w:rPr>
      </w:pPr>
      <w:r>
        <w:rPr>
          <w:b/>
          <w:sz w:val="21"/>
          <w:szCs w:val="21"/>
        </w:rPr>
        <w:t>3</w:t>
      </w:r>
      <w:r>
        <w:rPr>
          <w:rFonts w:hint="eastAsia"/>
          <w:b/>
          <w:sz w:val="21"/>
          <w:szCs w:val="21"/>
        </w:rPr>
        <w:t>、结算的内容与方式</w:t>
      </w:r>
    </w:p>
    <w:p>
      <w:pPr>
        <w:spacing w:before="97"/>
        <w:ind w:firstLine="420"/>
        <w:rPr>
          <w:sz w:val="21"/>
          <w:szCs w:val="21"/>
        </w:rPr>
      </w:pPr>
      <w:r>
        <w:rPr>
          <w:rFonts w:hint="eastAsia"/>
          <w:sz w:val="21"/>
          <w:szCs w:val="21"/>
        </w:rPr>
        <w:t>（</w:t>
      </w:r>
      <w:r>
        <w:rPr>
          <w:sz w:val="21"/>
          <w:szCs w:val="21"/>
        </w:rPr>
        <w:t>1</w:t>
      </w:r>
      <w:r>
        <w:rPr>
          <w:rFonts w:hint="eastAsia"/>
          <w:sz w:val="21"/>
          <w:szCs w:val="21"/>
        </w:rPr>
        <w:t>）微商城、小程序商城的订单，消费者通过微信支付后，系统实时自动分账，即乙方实时扣除平台交易佣金及第三方支付费用，剩余金额实时自动分账至甲方账户，对于商城的退款订单，该订单的甲乙双方分账的全部金额均会返还给消费者，甲方需保障账户余额，避免消费者退款时余额不足，无法退款。</w:t>
      </w:r>
    </w:p>
    <w:p>
      <w:pPr>
        <w:spacing w:before="97"/>
        <w:ind w:firstLine="420"/>
        <w:rPr>
          <w:sz w:val="21"/>
          <w:szCs w:val="21"/>
        </w:rPr>
      </w:pPr>
      <w:r>
        <w:rPr>
          <w:rFonts w:hint="eastAsia"/>
          <w:sz w:val="21"/>
          <w:szCs w:val="21"/>
        </w:rPr>
        <w:t>（</w:t>
      </w:r>
      <w:r>
        <w:rPr>
          <w:sz w:val="21"/>
          <w:szCs w:val="21"/>
        </w:rPr>
        <w:t>2</w:t>
      </w:r>
      <w:r>
        <w:rPr>
          <w:rFonts w:hint="eastAsia"/>
          <w:sz w:val="21"/>
          <w:szCs w:val="21"/>
        </w:rPr>
        <w:t>）同业</w:t>
      </w:r>
      <w:r>
        <w:rPr>
          <w:sz w:val="21"/>
          <w:szCs w:val="21"/>
        </w:rPr>
        <w:t>B2B</w:t>
      </w:r>
      <w:r>
        <w:rPr>
          <w:rFonts w:hint="eastAsia"/>
          <w:sz w:val="21"/>
          <w:szCs w:val="21"/>
        </w:rPr>
        <w:t>分销或公共仓分销商品，由甲方直接与分销商结算。</w:t>
      </w:r>
    </w:p>
    <w:p>
      <w:pPr>
        <w:spacing w:before="97"/>
        <w:ind w:firstLine="420"/>
        <w:rPr>
          <w:sz w:val="21"/>
          <w:szCs w:val="21"/>
        </w:rPr>
      </w:pPr>
      <w:r>
        <w:rPr>
          <w:rFonts w:hint="eastAsia"/>
          <w:sz w:val="21"/>
          <w:szCs w:val="21"/>
        </w:rPr>
        <w:t>（</w:t>
      </w:r>
      <w:r>
        <w:rPr>
          <w:sz w:val="21"/>
          <w:szCs w:val="21"/>
        </w:rPr>
        <w:t>3</w:t>
      </w:r>
      <w:r>
        <w:rPr>
          <w:rFonts w:hint="eastAsia"/>
          <w:sz w:val="21"/>
          <w:szCs w:val="21"/>
        </w:rPr>
        <w:t>）营销奖励：甲方利用乙方平台分销达人功能，给分销达人的分销奖励费用，消费者通过微信支付后，乙方将在消费者付款当天（</w:t>
      </w:r>
      <w:r>
        <w:rPr>
          <w:sz w:val="21"/>
          <w:szCs w:val="21"/>
        </w:rPr>
        <w:t>T+0</w:t>
      </w:r>
      <w:r>
        <w:rPr>
          <w:rFonts w:hint="eastAsia"/>
          <w:sz w:val="21"/>
          <w:szCs w:val="21"/>
        </w:rPr>
        <w:t>）分账到达人的商城个人中心帐户（旅游产品体验前、实物商品确认收货前不可提现），有关营销费用由甲方设置，在分帐中自动扣除，如消费者在旅游产品体验日期后或实物商品确认收货后发生退款，此部分达人分销奖励不可返还。</w:t>
      </w:r>
    </w:p>
    <w:p>
      <w:pPr>
        <w:spacing w:before="97"/>
        <w:ind w:firstLine="420"/>
        <w:rPr>
          <w:sz w:val="21"/>
          <w:szCs w:val="21"/>
        </w:rPr>
      </w:pPr>
      <w:r>
        <w:rPr>
          <w:rFonts w:hint="eastAsia"/>
          <w:sz w:val="21"/>
          <w:szCs w:val="21"/>
        </w:rPr>
        <w:t>（</w:t>
      </w:r>
      <w:r>
        <w:rPr>
          <w:sz w:val="21"/>
          <w:szCs w:val="21"/>
        </w:rPr>
        <w:t>4</w:t>
      </w:r>
      <w:r>
        <w:rPr>
          <w:rFonts w:hint="eastAsia"/>
          <w:sz w:val="21"/>
          <w:szCs w:val="21"/>
        </w:rPr>
        <w:t>）对于预付款并不可明确定位消费场所的商品（如集团通用储值卡），乙方将在消费者具体使用并核销后次日（</w:t>
      </w:r>
      <w:r>
        <w:rPr>
          <w:sz w:val="21"/>
          <w:szCs w:val="21"/>
        </w:rPr>
        <w:t>T+1</w:t>
      </w:r>
      <w:r>
        <w:rPr>
          <w:rFonts w:hint="eastAsia"/>
          <w:sz w:val="21"/>
          <w:szCs w:val="21"/>
        </w:rPr>
        <w:t>）分账到对应甲方帐户，并由甲方提现</w:t>
      </w:r>
      <w:r>
        <w:rPr>
          <w:sz w:val="21"/>
          <w:szCs w:val="21"/>
        </w:rPr>
        <w:t>(</w:t>
      </w:r>
      <w:r>
        <w:rPr>
          <w:rFonts w:hint="eastAsia"/>
          <w:sz w:val="21"/>
          <w:szCs w:val="21"/>
        </w:rPr>
        <w:t>如</w:t>
      </w:r>
      <w:r>
        <w:rPr>
          <w:sz w:val="21"/>
          <w:szCs w:val="21"/>
        </w:rPr>
        <w:t>T+1)</w:t>
      </w:r>
      <w:r>
        <w:rPr>
          <w:rFonts w:hint="eastAsia"/>
          <w:sz w:val="21"/>
          <w:szCs w:val="21"/>
        </w:rPr>
        <w:t>到</w:t>
      </w:r>
      <w:r>
        <w:rPr>
          <w:rFonts w:hint="eastAsia"/>
          <w:kern w:val="0"/>
          <w:sz w:val="21"/>
          <w:szCs w:val="21"/>
        </w:rPr>
        <w:t>乙</w:t>
      </w:r>
      <w:r>
        <w:rPr>
          <w:rFonts w:hint="eastAsia"/>
          <w:sz w:val="21"/>
          <w:szCs w:val="21"/>
        </w:rPr>
        <w:t>方对公银行账户。</w:t>
      </w:r>
    </w:p>
    <w:p>
      <w:pPr>
        <w:spacing w:before="97"/>
        <w:ind w:firstLine="420"/>
        <w:rPr>
          <w:sz w:val="21"/>
          <w:szCs w:val="21"/>
        </w:rPr>
      </w:pPr>
      <w:r>
        <w:rPr>
          <w:rFonts w:hint="eastAsia"/>
          <w:sz w:val="21"/>
          <w:szCs w:val="21"/>
        </w:rPr>
        <w:t>（</w:t>
      </w:r>
      <w:r>
        <w:rPr>
          <w:sz w:val="21"/>
          <w:szCs w:val="21"/>
        </w:rPr>
        <w:t>5</w:t>
      </w:r>
      <w:r>
        <w:rPr>
          <w:rFonts w:hint="eastAsia"/>
          <w:sz w:val="21"/>
          <w:szCs w:val="21"/>
        </w:rPr>
        <w:t>）甲方应于收到订单明细的</w:t>
      </w:r>
      <w:r>
        <w:rPr>
          <w:sz w:val="21"/>
          <w:szCs w:val="21"/>
        </w:rPr>
        <w:t>7</w:t>
      </w:r>
      <w:r>
        <w:rPr>
          <w:rFonts w:hint="eastAsia"/>
          <w:sz w:val="21"/>
          <w:szCs w:val="21"/>
        </w:rPr>
        <w:t>个工作日内就争议部分向乙方书面主张；</w:t>
      </w:r>
      <w:r>
        <w:rPr>
          <w:sz w:val="21"/>
          <w:szCs w:val="21"/>
        </w:rPr>
        <w:t xml:space="preserve"> </w:t>
      </w:r>
      <w:r>
        <w:rPr>
          <w:rFonts w:hint="eastAsia"/>
          <w:sz w:val="21"/>
          <w:szCs w:val="21"/>
        </w:rPr>
        <w:t>如甲方在收到订单明细的</w:t>
      </w:r>
      <w:r>
        <w:rPr>
          <w:sz w:val="21"/>
          <w:szCs w:val="21"/>
        </w:rPr>
        <w:t>7</w:t>
      </w:r>
      <w:r>
        <w:rPr>
          <w:rFonts w:hint="eastAsia"/>
          <w:sz w:val="21"/>
          <w:szCs w:val="21"/>
        </w:rPr>
        <w:t>个工作日未对上月订单明细书面主张异议，则乙方视为甲方对该明细没有异议，按本协议规定的给甲方开具增值税发票。</w:t>
      </w:r>
    </w:p>
    <w:p>
      <w:pPr>
        <w:spacing w:before="97"/>
        <w:ind w:firstLine="422"/>
        <w:rPr>
          <w:b/>
          <w:sz w:val="21"/>
          <w:szCs w:val="21"/>
        </w:rPr>
      </w:pPr>
      <w:r>
        <w:rPr>
          <w:b/>
          <w:sz w:val="21"/>
          <w:szCs w:val="21"/>
        </w:rPr>
        <w:t>4</w:t>
      </w:r>
      <w:r>
        <w:rPr>
          <w:rFonts w:hint="eastAsia"/>
          <w:b/>
          <w:sz w:val="21"/>
          <w:szCs w:val="21"/>
        </w:rPr>
        <w:t>、关于“百万酒店分销商城”功能的使用与采购结算方式选择</w:t>
      </w:r>
    </w:p>
    <w:p>
      <w:pPr>
        <w:pStyle w:val="19"/>
        <w:numPr>
          <w:ilvl w:val="0"/>
          <w:numId w:val="2"/>
        </w:numPr>
        <w:spacing w:before="97"/>
        <w:ind w:left="1134" w:hanging="708" w:firstLineChars="0"/>
        <w:rPr>
          <w:sz w:val="21"/>
          <w:szCs w:val="21"/>
        </w:rPr>
      </w:pPr>
      <w:r>
        <w:rPr>
          <w:rFonts w:hint="eastAsia" w:ascii="宋体" w:hAnsi="宋体"/>
          <w:sz w:val="21"/>
          <w:szCs w:val="21"/>
        </w:rPr>
        <w:t>【</w:t>
      </w:r>
      <w:r>
        <w:rPr>
          <w:sz w:val="21"/>
          <w:szCs w:val="21"/>
          <w:u w:val="single"/>
        </w:rPr>
        <w:t xml:space="preserve">           </w:t>
      </w:r>
      <w:r>
        <w:rPr>
          <w:rFonts w:hint="eastAsia" w:ascii="宋体" w:hAnsi="宋体"/>
          <w:sz w:val="21"/>
          <w:szCs w:val="21"/>
        </w:rPr>
        <w:t>】</w:t>
      </w:r>
      <w:r>
        <w:rPr>
          <w:rFonts w:hint="eastAsia"/>
          <w:sz w:val="21"/>
          <w:szCs w:val="21"/>
        </w:rPr>
        <w:t>是</w:t>
      </w:r>
      <w:r>
        <w:rPr>
          <w:sz w:val="21"/>
          <w:szCs w:val="21"/>
        </w:rPr>
        <w:t>/</w:t>
      </w:r>
      <w:r>
        <w:rPr>
          <w:rFonts w:hint="eastAsia"/>
          <w:sz w:val="21"/>
          <w:szCs w:val="21"/>
        </w:rPr>
        <w:t>否，</w:t>
      </w:r>
      <w:r>
        <w:rPr>
          <w:sz w:val="21"/>
          <w:szCs w:val="21"/>
        </w:rPr>
        <w:t xml:space="preserve"> </w:t>
      </w:r>
      <w:r>
        <w:rPr>
          <w:rFonts w:hint="eastAsia"/>
          <w:sz w:val="21"/>
          <w:szCs w:val="21"/>
        </w:rPr>
        <w:t>需要使用“百万酒店商城分销”功能，进行产品多样化匹配及丰富渠道资源。</w:t>
      </w:r>
    </w:p>
    <w:p>
      <w:pPr>
        <w:pStyle w:val="19"/>
        <w:numPr>
          <w:ilvl w:val="0"/>
          <w:numId w:val="2"/>
        </w:numPr>
        <w:spacing w:before="97"/>
        <w:ind w:left="1134" w:hanging="708" w:firstLineChars="0"/>
        <w:rPr>
          <w:sz w:val="21"/>
          <w:szCs w:val="21"/>
        </w:rPr>
      </w:pPr>
      <w:r>
        <w:rPr>
          <w:rFonts w:hint="eastAsia"/>
          <w:sz w:val="21"/>
          <w:szCs w:val="21"/>
        </w:rPr>
        <w:t>百万酒店分销商城，使用酒店采购订单结算款项结算周期为：</w:t>
      </w:r>
      <w:r>
        <w:rPr>
          <w:rFonts w:hint="eastAsia" w:ascii="宋体" w:hAnsi="宋体"/>
          <w:sz w:val="21"/>
          <w:szCs w:val="21"/>
        </w:rPr>
        <w:t>【</w:t>
      </w:r>
      <w:r>
        <w:rPr>
          <w:sz w:val="21"/>
          <w:szCs w:val="21"/>
          <w:u w:val="single"/>
        </w:rPr>
        <w:t xml:space="preserve">      </w:t>
      </w:r>
      <w:r>
        <w:rPr>
          <w:rFonts w:hint="eastAsia"/>
          <w:sz w:val="21"/>
          <w:szCs w:val="21"/>
          <w:u w:val="single"/>
        </w:rPr>
        <w:t>周结</w:t>
      </w:r>
      <w:r>
        <w:rPr>
          <w:sz w:val="21"/>
          <w:szCs w:val="21"/>
          <w:u w:val="single"/>
        </w:rPr>
        <w:t xml:space="preserve">       </w:t>
      </w:r>
      <w:r>
        <w:rPr>
          <w:rFonts w:hint="eastAsia" w:ascii="宋体" w:hAnsi="宋体"/>
          <w:sz w:val="21"/>
          <w:szCs w:val="21"/>
        </w:rPr>
        <w:t>】</w:t>
      </w:r>
      <w:r>
        <w:rPr>
          <w:rFonts w:hint="eastAsia"/>
          <w:sz w:val="21"/>
          <w:szCs w:val="21"/>
        </w:rPr>
        <w:t>周</w:t>
      </w:r>
      <w:r>
        <w:rPr>
          <w:sz w:val="21"/>
          <w:szCs w:val="21"/>
        </w:rPr>
        <w:t>/</w:t>
      </w:r>
      <w:r>
        <w:rPr>
          <w:rFonts w:hint="eastAsia"/>
          <w:sz w:val="21"/>
          <w:szCs w:val="21"/>
        </w:rPr>
        <w:t>半月</w:t>
      </w:r>
      <w:r>
        <w:rPr>
          <w:sz w:val="21"/>
          <w:szCs w:val="21"/>
        </w:rPr>
        <w:t>/</w:t>
      </w:r>
      <w:r>
        <w:rPr>
          <w:rFonts w:hint="eastAsia"/>
          <w:sz w:val="21"/>
          <w:szCs w:val="21"/>
        </w:rPr>
        <w:t>月结；押金：</w:t>
      </w:r>
      <w:r>
        <w:rPr>
          <w:rFonts w:hint="eastAsia" w:ascii="宋体" w:hAnsi="宋体"/>
          <w:sz w:val="21"/>
          <w:szCs w:val="21"/>
        </w:rPr>
        <w:t>【</w:t>
      </w:r>
      <w:r>
        <w:rPr>
          <w:sz w:val="21"/>
          <w:szCs w:val="21"/>
          <w:u w:val="single"/>
        </w:rPr>
        <w:t xml:space="preserve">    </w:t>
      </w:r>
      <w:r>
        <w:rPr>
          <w:rFonts w:hint="eastAsia"/>
          <w:sz w:val="21"/>
          <w:szCs w:val="21"/>
          <w:u w:val="single"/>
        </w:rPr>
        <w:t>零</w:t>
      </w:r>
      <w:r>
        <w:rPr>
          <w:sz w:val="21"/>
          <w:szCs w:val="21"/>
          <w:u w:val="single"/>
        </w:rPr>
        <w:t xml:space="preserve">        </w:t>
      </w:r>
      <w:r>
        <w:rPr>
          <w:rFonts w:hint="eastAsia" w:ascii="宋体" w:hAnsi="宋体"/>
          <w:sz w:val="21"/>
          <w:szCs w:val="21"/>
        </w:rPr>
        <w:t>】</w:t>
      </w:r>
      <w:r>
        <w:rPr>
          <w:rFonts w:hint="eastAsia"/>
          <w:sz w:val="21"/>
          <w:szCs w:val="21"/>
        </w:rPr>
        <w:t>元（按具体实际业务量配置）；授权信信用额度：</w:t>
      </w:r>
      <w:r>
        <w:rPr>
          <w:rFonts w:hint="eastAsia" w:ascii="宋体" w:hAnsi="宋体"/>
          <w:sz w:val="21"/>
          <w:szCs w:val="21"/>
        </w:rPr>
        <w:t>【</w:t>
      </w:r>
      <w:r>
        <w:rPr>
          <w:sz w:val="21"/>
          <w:szCs w:val="21"/>
          <w:u w:val="single"/>
        </w:rPr>
        <w:t xml:space="preserve">         </w:t>
      </w:r>
      <w:r>
        <w:rPr>
          <w:rFonts w:hint="eastAsia"/>
          <w:sz w:val="21"/>
          <w:szCs w:val="21"/>
          <w:u w:val="single"/>
        </w:rPr>
        <w:t>壹万</w:t>
      </w:r>
      <w:r>
        <w:rPr>
          <w:sz w:val="21"/>
          <w:szCs w:val="21"/>
          <w:u w:val="single"/>
        </w:rPr>
        <w:t xml:space="preserve">    </w:t>
      </w:r>
      <w:r>
        <w:rPr>
          <w:rFonts w:hint="eastAsia" w:ascii="宋体" w:hAnsi="宋体"/>
          <w:sz w:val="21"/>
          <w:szCs w:val="21"/>
        </w:rPr>
        <w:t>】</w:t>
      </w:r>
      <w:r>
        <w:rPr>
          <w:rFonts w:hint="eastAsia"/>
          <w:sz w:val="21"/>
          <w:szCs w:val="21"/>
        </w:rPr>
        <w:t>元</w:t>
      </w:r>
      <w:r>
        <w:rPr>
          <w:sz w:val="21"/>
          <w:szCs w:val="21"/>
        </w:rPr>
        <w:t xml:space="preserve"> </w:t>
      </w:r>
      <w:r>
        <w:rPr>
          <w:rFonts w:hint="eastAsia"/>
          <w:sz w:val="21"/>
          <w:szCs w:val="21"/>
        </w:rPr>
        <w:t>（按具体实际业务量配置）。</w:t>
      </w:r>
    </w:p>
    <w:p>
      <w:pPr>
        <w:spacing w:before="97"/>
        <w:ind w:firstLine="422"/>
        <w:rPr>
          <w:b/>
          <w:sz w:val="21"/>
          <w:szCs w:val="21"/>
        </w:rPr>
      </w:pPr>
      <w:r>
        <w:rPr>
          <w:b/>
          <w:sz w:val="21"/>
          <w:szCs w:val="21"/>
        </w:rPr>
        <w:t>5</w:t>
      </w:r>
      <w:r>
        <w:rPr>
          <w:rFonts w:hint="eastAsia"/>
          <w:b/>
          <w:sz w:val="21"/>
          <w:szCs w:val="21"/>
        </w:rPr>
        <w:t>、对账及收款账户信息：</w:t>
      </w:r>
    </w:p>
    <w:p>
      <w:pPr>
        <w:pStyle w:val="19"/>
        <w:numPr>
          <w:ilvl w:val="0"/>
          <w:numId w:val="3"/>
        </w:numPr>
        <w:spacing w:before="97"/>
        <w:ind w:firstLineChars="0"/>
        <w:rPr>
          <w:bCs/>
          <w:sz w:val="21"/>
          <w:szCs w:val="21"/>
        </w:rPr>
      </w:pPr>
      <w:r>
        <w:rPr>
          <w:rFonts w:hint="eastAsia"/>
          <w:bCs/>
          <w:sz w:val="21"/>
          <w:szCs w:val="21"/>
        </w:rPr>
        <w:t>结算方式为：周</w:t>
      </w:r>
      <w:r>
        <w:rPr>
          <w:bCs/>
          <w:sz w:val="21"/>
          <w:szCs w:val="21"/>
        </w:rPr>
        <w:t>/</w:t>
      </w:r>
      <w:r>
        <w:rPr>
          <w:rFonts w:hint="eastAsia"/>
          <w:bCs/>
          <w:sz w:val="21"/>
          <w:szCs w:val="21"/>
        </w:rPr>
        <w:t>半月</w:t>
      </w:r>
      <w:r>
        <w:rPr>
          <w:bCs/>
          <w:sz w:val="21"/>
          <w:szCs w:val="21"/>
        </w:rPr>
        <w:t>/</w:t>
      </w:r>
      <w:r>
        <w:rPr>
          <w:rFonts w:hint="eastAsia"/>
          <w:bCs/>
          <w:sz w:val="21"/>
          <w:szCs w:val="21"/>
        </w:rPr>
        <w:t>月结，对账时间点为：</w:t>
      </w:r>
      <w:r>
        <w:rPr>
          <w:rFonts w:hint="eastAsia" w:ascii="宋体" w:hAnsi="宋体"/>
          <w:bCs/>
          <w:sz w:val="21"/>
          <w:szCs w:val="21"/>
        </w:rPr>
        <w:t>【</w:t>
      </w:r>
      <w:r>
        <w:rPr>
          <w:rFonts w:hint="eastAsia"/>
          <w:bCs/>
          <w:sz w:val="21"/>
          <w:szCs w:val="21"/>
        </w:rPr>
        <w:t>每周一</w:t>
      </w:r>
      <w:r>
        <w:rPr>
          <w:rFonts w:hint="eastAsia" w:ascii="宋体" w:hAnsi="宋体"/>
          <w:bCs/>
          <w:sz w:val="21"/>
          <w:szCs w:val="21"/>
        </w:rPr>
        <w:t>】</w:t>
      </w:r>
      <w:r>
        <w:rPr>
          <w:bCs/>
          <w:sz w:val="21"/>
          <w:szCs w:val="21"/>
        </w:rPr>
        <w:t>/</w:t>
      </w:r>
      <w:r>
        <w:rPr>
          <w:rFonts w:hint="eastAsia" w:ascii="宋体" w:hAnsi="宋体"/>
          <w:bCs/>
          <w:sz w:val="21"/>
          <w:szCs w:val="21"/>
        </w:rPr>
        <w:t>【</w:t>
      </w:r>
      <w:r>
        <w:rPr>
          <w:rFonts w:hint="eastAsia"/>
          <w:bCs/>
          <w:sz w:val="21"/>
          <w:szCs w:val="21"/>
        </w:rPr>
        <w:t>每月</w:t>
      </w:r>
      <w:r>
        <w:rPr>
          <w:bCs/>
          <w:sz w:val="21"/>
          <w:szCs w:val="21"/>
        </w:rPr>
        <w:t>15</w:t>
      </w:r>
      <w:r>
        <w:rPr>
          <w:rFonts w:hint="eastAsia"/>
          <w:bCs/>
          <w:sz w:val="21"/>
          <w:szCs w:val="21"/>
        </w:rPr>
        <w:t>号</w:t>
      </w:r>
      <w:r>
        <w:rPr>
          <w:rFonts w:hint="eastAsia" w:ascii="宋体" w:hAnsi="宋体"/>
          <w:bCs/>
          <w:sz w:val="21"/>
          <w:szCs w:val="21"/>
        </w:rPr>
        <w:t>】</w:t>
      </w:r>
      <w:r>
        <w:rPr>
          <w:bCs/>
          <w:sz w:val="21"/>
          <w:szCs w:val="21"/>
        </w:rPr>
        <w:t xml:space="preserve">/ </w:t>
      </w:r>
      <w:r>
        <w:rPr>
          <w:rFonts w:hint="eastAsia" w:ascii="宋体" w:hAnsi="宋体"/>
          <w:bCs/>
          <w:sz w:val="21"/>
          <w:szCs w:val="21"/>
        </w:rPr>
        <w:t>【</w:t>
      </w:r>
      <w:r>
        <w:rPr>
          <w:rFonts w:hint="eastAsia"/>
          <w:bCs/>
          <w:sz w:val="21"/>
          <w:szCs w:val="21"/>
        </w:rPr>
        <w:t>每月初</w:t>
      </w:r>
      <w:r>
        <w:rPr>
          <w:bCs/>
          <w:sz w:val="21"/>
          <w:szCs w:val="21"/>
        </w:rPr>
        <w:t>5</w:t>
      </w:r>
      <w:r>
        <w:rPr>
          <w:rFonts w:hint="eastAsia"/>
          <w:bCs/>
          <w:sz w:val="21"/>
          <w:szCs w:val="21"/>
        </w:rPr>
        <w:t>号</w:t>
      </w:r>
      <w:r>
        <w:rPr>
          <w:rFonts w:hint="eastAsia" w:ascii="宋体" w:hAnsi="宋体"/>
          <w:bCs/>
          <w:sz w:val="21"/>
          <w:szCs w:val="21"/>
        </w:rPr>
        <w:t>】</w:t>
      </w:r>
      <w:r>
        <w:rPr>
          <w:bCs/>
          <w:sz w:val="21"/>
          <w:szCs w:val="21"/>
        </w:rPr>
        <w:t xml:space="preserve">, </w:t>
      </w:r>
      <w:r>
        <w:rPr>
          <w:rFonts w:hint="eastAsia"/>
          <w:bCs/>
          <w:sz w:val="21"/>
          <w:szCs w:val="21"/>
        </w:rPr>
        <w:t>以系统订单为准进行账务核对，确认余额后，甲方向乙方进行采购款项结算。</w:t>
      </w:r>
    </w:p>
    <w:p>
      <w:pPr>
        <w:pStyle w:val="19"/>
        <w:numPr>
          <w:ilvl w:val="0"/>
          <w:numId w:val="3"/>
        </w:numPr>
        <w:spacing w:before="97"/>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乙方收款账户信息如下：</w:t>
      </w:r>
    </w:p>
    <w:p>
      <w:pPr>
        <w:spacing w:before="97"/>
        <w:ind w:firstLine="1050" w:firstLineChars="500"/>
        <w:rPr>
          <w:rFonts w:ascii="宋体" w:hAnsi="宋体"/>
          <w:sz w:val="21"/>
          <w:szCs w:val="21"/>
        </w:rPr>
      </w:pPr>
      <w:r>
        <w:rPr>
          <w:rFonts w:hint="eastAsia" w:ascii="宋体" w:hAnsi="宋体"/>
          <w:sz w:val="21"/>
          <w:szCs w:val="21"/>
        </w:rPr>
        <w:t>账户名称：【广州汇登信息科技有限公司】</w:t>
      </w:r>
    </w:p>
    <w:p>
      <w:pPr>
        <w:spacing w:before="97"/>
        <w:ind w:firstLine="1050" w:firstLineChars="500"/>
        <w:rPr>
          <w:rFonts w:ascii="宋体" w:hAnsi="宋体"/>
          <w:color w:val="111F2C"/>
          <w:sz w:val="21"/>
          <w:szCs w:val="21"/>
          <w:shd w:val="clear" w:color="auto" w:fill="FFFFFF"/>
        </w:rPr>
      </w:pPr>
      <w:r>
        <w:rPr>
          <w:rFonts w:hint="eastAsia" w:ascii="宋体" w:hAnsi="宋体"/>
          <w:sz w:val="21"/>
          <w:szCs w:val="21"/>
        </w:rPr>
        <w:t>账号名称：【</w:t>
      </w:r>
      <w:r>
        <w:rPr>
          <w:rFonts w:ascii="宋体" w:hAnsi="宋体"/>
          <w:color w:val="111F2C"/>
          <w:sz w:val="21"/>
          <w:szCs w:val="21"/>
          <w:shd w:val="clear" w:color="auto" w:fill="FFFFFF"/>
        </w:rPr>
        <w:t>44063001040013494】</w:t>
      </w:r>
    </w:p>
    <w:p>
      <w:pPr>
        <w:spacing w:before="97"/>
        <w:ind w:firstLine="1050" w:firstLineChars="500"/>
        <w:rPr>
          <w:rFonts w:ascii="宋体" w:hAnsi="宋体"/>
          <w:color w:val="111F2C"/>
          <w:sz w:val="21"/>
          <w:szCs w:val="21"/>
          <w:shd w:val="clear" w:color="auto" w:fill="FFFFFF"/>
        </w:rPr>
      </w:pPr>
      <w:r>
        <w:rPr>
          <w:rFonts w:hint="eastAsia" w:ascii="宋体" w:hAnsi="宋体"/>
          <w:color w:val="111F2C"/>
          <w:sz w:val="21"/>
          <w:szCs w:val="21"/>
          <w:shd w:val="clear" w:color="auto" w:fill="FFFFFF"/>
        </w:rPr>
        <w:t>开户行名称：</w:t>
      </w:r>
      <w:r>
        <w:rPr>
          <w:rFonts w:hint="eastAsia" w:ascii="宋体" w:hAnsi="宋体"/>
          <w:sz w:val="21"/>
          <w:szCs w:val="21"/>
        </w:rPr>
        <w:t>【</w:t>
      </w:r>
      <w:r>
        <w:rPr>
          <w:rFonts w:hint="eastAsia" w:ascii="宋体" w:hAnsi="宋体"/>
          <w:color w:val="111F2C"/>
          <w:sz w:val="21"/>
          <w:szCs w:val="21"/>
          <w:shd w:val="clear" w:color="auto" w:fill="FFFFFF"/>
        </w:rPr>
        <w:t>中国农业银行广州金碧世纪花园支行】</w:t>
      </w:r>
    </w:p>
    <w:p>
      <w:pPr>
        <w:spacing w:before="97"/>
        <w:ind w:firstLine="1050" w:firstLineChars="500"/>
        <w:rPr>
          <w:rFonts w:ascii="宋体" w:hAnsi="宋体"/>
          <w:color w:val="111F2C"/>
          <w:sz w:val="21"/>
          <w:szCs w:val="21"/>
          <w:shd w:val="clear" w:color="auto" w:fill="FFFFFF"/>
        </w:rPr>
      </w:pPr>
      <w:r>
        <w:rPr>
          <w:rFonts w:hint="eastAsia" w:ascii="宋体" w:hAnsi="宋体"/>
          <w:color w:val="111F2C"/>
          <w:sz w:val="21"/>
          <w:szCs w:val="21"/>
          <w:shd w:val="clear" w:color="auto" w:fill="FFFFFF"/>
        </w:rPr>
        <w:t>开户银行代码：</w:t>
      </w:r>
      <w:r>
        <w:rPr>
          <w:rFonts w:hint="eastAsia" w:ascii="宋体" w:hAnsi="宋体"/>
          <w:sz w:val="21"/>
          <w:szCs w:val="21"/>
        </w:rPr>
        <w:t>【</w:t>
      </w:r>
      <w:r>
        <w:rPr>
          <w:rFonts w:ascii="宋体" w:hAnsi="宋体"/>
          <w:color w:val="111F2C"/>
          <w:sz w:val="21"/>
          <w:szCs w:val="21"/>
          <w:shd w:val="clear" w:color="auto" w:fill="FFFFFF"/>
        </w:rPr>
        <w:t>103581006309】</w:t>
      </w:r>
    </w:p>
    <w:p>
      <w:pPr>
        <w:spacing w:before="97"/>
        <w:ind w:firstLineChars="0"/>
        <w:rPr>
          <w:color w:val="auto"/>
          <w:sz w:val="21"/>
          <w:szCs w:val="21"/>
        </w:rPr>
      </w:pPr>
      <w:r>
        <w:rPr>
          <w:rFonts w:ascii="宋体" w:hAnsi="宋体"/>
          <w:color w:val="auto"/>
          <w:sz w:val="21"/>
          <w:szCs w:val="21"/>
        </w:rPr>
        <w:t xml:space="preserve"> </w:t>
      </w:r>
      <w:r>
        <w:rPr>
          <w:b/>
          <w:bCs/>
          <w:color w:val="auto"/>
          <w:sz w:val="21"/>
          <w:szCs w:val="21"/>
        </w:rPr>
        <w:t>6</w:t>
      </w:r>
      <w:r>
        <w:rPr>
          <w:rFonts w:hint="eastAsia"/>
          <w:b/>
          <w:bCs/>
          <w:color w:val="auto"/>
          <w:sz w:val="21"/>
          <w:szCs w:val="21"/>
        </w:rPr>
        <w:t>、合作期限</w:t>
      </w:r>
    </w:p>
    <w:p>
      <w:pPr>
        <w:pStyle w:val="19"/>
        <w:numPr>
          <w:ilvl w:val="0"/>
          <w:numId w:val="4"/>
        </w:numPr>
        <w:spacing w:before="97"/>
        <w:ind w:firstLineChars="0"/>
        <w:rPr>
          <w:bCs/>
          <w:sz w:val="21"/>
          <w:szCs w:val="21"/>
        </w:rPr>
      </w:pPr>
      <w:r>
        <w:rPr>
          <w:rFonts w:hint="eastAsia"/>
          <w:bCs/>
          <w:sz w:val="21"/>
          <w:szCs w:val="21"/>
        </w:rPr>
        <w:t>双方的合作期限自</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w:t>
      </w:r>
      <w:r>
        <w:rPr>
          <w:rFonts w:ascii="宋体" w:hAnsi="宋体"/>
          <w:color w:val="000000"/>
          <w:sz w:val="21"/>
          <w:szCs w:val="21"/>
        </w:rPr>
        <w:t xml:space="preserve"> </w:t>
      </w:r>
      <w:r>
        <w:rPr>
          <w:rFonts w:hint="eastAsia"/>
          <w:bCs/>
          <w:sz w:val="21"/>
          <w:szCs w:val="21"/>
        </w:rPr>
        <w:t>起至</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w:t>
      </w:r>
      <w:r>
        <w:rPr>
          <w:rFonts w:ascii="宋体" w:hAnsi="宋体"/>
          <w:color w:val="000000"/>
          <w:sz w:val="21"/>
          <w:szCs w:val="21"/>
        </w:rPr>
        <w:t xml:space="preserve"> </w:t>
      </w:r>
      <w:r>
        <w:rPr>
          <w:rFonts w:hint="eastAsia"/>
          <w:bCs/>
          <w:sz w:val="21"/>
          <w:szCs w:val="21"/>
        </w:rPr>
        <w:t>止；</w:t>
      </w:r>
    </w:p>
    <w:p>
      <w:pPr>
        <w:pStyle w:val="19"/>
        <w:numPr>
          <w:ilvl w:val="0"/>
          <w:numId w:val="4"/>
        </w:numPr>
        <w:spacing w:before="97"/>
        <w:ind w:firstLineChars="0"/>
        <w:rPr>
          <w:bCs/>
          <w:sz w:val="21"/>
          <w:szCs w:val="21"/>
        </w:rPr>
      </w:pPr>
      <w:r>
        <w:rPr>
          <w:rFonts w:hint="eastAsia"/>
          <w:bCs/>
          <w:sz w:val="21"/>
          <w:szCs w:val="21"/>
        </w:rPr>
        <w:t>本协议有效期一年，协议期满后，若双方无异议，视同本合同期限自动延长一年。</w:t>
      </w:r>
    </w:p>
    <w:p>
      <w:pPr>
        <w:pStyle w:val="19"/>
        <w:numPr>
          <w:ilvl w:val="0"/>
          <w:numId w:val="4"/>
        </w:numPr>
        <w:spacing w:before="97"/>
        <w:ind w:left="0" w:firstLine="420"/>
        <w:rPr>
          <w:sz w:val="21"/>
          <w:szCs w:val="21"/>
        </w:rPr>
      </w:pPr>
      <w:r>
        <w:rPr>
          <w:rFonts w:hint="eastAsia"/>
          <w:sz w:val="21"/>
          <w:szCs w:val="21"/>
        </w:rPr>
        <w:t>如双方未在协议到期前一个月内提出针对双方合作的异议或调整的，则协议自动续期。如任意一方提出异议的，双方应协商是否续期。</w:t>
      </w:r>
    </w:p>
    <w:p>
      <w:pPr>
        <w:pStyle w:val="19"/>
        <w:numPr>
          <w:ilvl w:val="0"/>
          <w:numId w:val="4"/>
        </w:numPr>
        <w:spacing w:before="97"/>
        <w:ind w:left="0" w:firstLine="420"/>
        <w:rPr>
          <w:sz w:val="21"/>
          <w:szCs w:val="21"/>
        </w:rPr>
      </w:pPr>
      <w:r>
        <w:rPr>
          <w:rFonts w:hint="eastAsia"/>
          <w:sz w:val="21"/>
          <w:szCs w:val="21"/>
        </w:rPr>
        <w:t>就本协议合作之内容，如甲方有多个潜在合作对象，在同等条件下，甲方应当优先选择与乙方合作。</w:t>
      </w:r>
    </w:p>
    <w:p>
      <w:pPr>
        <w:pStyle w:val="2"/>
        <w:numPr>
          <w:ilvl w:val="0"/>
          <w:numId w:val="1"/>
        </w:numPr>
        <w:spacing w:before="326"/>
        <w:ind w:left="0" w:firstLine="422"/>
        <w:rPr>
          <w:sz w:val="21"/>
          <w:szCs w:val="21"/>
        </w:rPr>
      </w:pPr>
      <w:r>
        <w:rPr>
          <w:rFonts w:hint="eastAsia"/>
          <w:sz w:val="21"/>
          <w:szCs w:val="21"/>
        </w:rPr>
        <w:t>双方的权利义务</w:t>
      </w:r>
    </w:p>
    <w:p>
      <w:pPr>
        <w:pStyle w:val="19"/>
        <w:numPr>
          <w:ilvl w:val="0"/>
          <w:numId w:val="5"/>
        </w:numPr>
        <w:spacing w:before="97"/>
        <w:ind w:firstLineChars="0"/>
        <w:rPr>
          <w:sz w:val="21"/>
          <w:szCs w:val="21"/>
        </w:rPr>
      </w:pPr>
      <w:r>
        <w:rPr>
          <w:rFonts w:hint="eastAsia"/>
          <w:sz w:val="21"/>
          <w:szCs w:val="21"/>
        </w:rPr>
        <w:t>甲方的权利义务</w:t>
      </w:r>
    </w:p>
    <w:p>
      <w:pPr>
        <w:pStyle w:val="19"/>
        <w:numPr>
          <w:ilvl w:val="0"/>
          <w:numId w:val="6"/>
        </w:numPr>
        <w:spacing w:before="97"/>
        <w:ind w:left="0" w:firstLine="420"/>
        <w:rPr>
          <w:sz w:val="21"/>
          <w:szCs w:val="21"/>
        </w:rPr>
      </w:pPr>
      <w:r>
        <w:rPr>
          <w:rFonts w:hint="eastAsia"/>
          <w:sz w:val="21"/>
          <w:szCs w:val="21"/>
        </w:rPr>
        <w:t>甲方有义务应乙方要求向乙方提供真实正确的企业信息、资质证书和资料进行核查并承担相关责任。</w:t>
      </w:r>
    </w:p>
    <w:p>
      <w:pPr>
        <w:pStyle w:val="19"/>
        <w:numPr>
          <w:ilvl w:val="0"/>
          <w:numId w:val="6"/>
        </w:numPr>
        <w:spacing w:before="97"/>
        <w:ind w:left="0" w:firstLine="420"/>
        <w:rPr>
          <w:sz w:val="21"/>
          <w:szCs w:val="21"/>
        </w:rPr>
      </w:pPr>
      <w:r>
        <w:rPr>
          <w:rFonts w:hint="eastAsia"/>
          <w:sz w:val="21"/>
          <w:szCs w:val="21"/>
        </w:rPr>
        <w:t>甲方应安排附件</w:t>
      </w:r>
      <w:r>
        <w:rPr>
          <w:sz w:val="21"/>
          <w:szCs w:val="21"/>
        </w:rPr>
        <w:t>2</w:t>
      </w:r>
      <w:r>
        <w:rPr>
          <w:rFonts w:hint="eastAsia"/>
          <w:sz w:val="21"/>
          <w:szCs w:val="21"/>
        </w:rPr>
        <w:t>中的对接人，并负责督促对接人对乙方发出的相应信息进行反馈和确认。</w:t>
      </w:r>
    </w:p>
    <w:p>
      <w:pPr>
        <w:pStyle w:val="19"/>
        <w:numPr>
          <w:ilvl w:val="0"/>
          <w:numId w:val="6"/>
        </w:numPr>
        <w:spacing w:before="97"/>
        <w:ind w:left="0" w:firstLine="420"/>
        <w:rPr>
          <w:sz w:val="21"/>
          <w:szCs w:val="21"/>
        </w:rPr>
      </w:pPr>
      <w:r>
        <w:rPr>
          <w:rFonts w:hint="eastAsia"/>
          <w:sz w:val="21"/>
          <w:szCs w:val="21"/>
        </w:rPr>
        <w:t>甲方应按照本协议的约定足额向乙方支付费用。</w:t>
      </w:r>
    </w:p>
    <w:p>
      <w:pPr>
        <w:pStyle w:val="19"/>
        <w:numPr>
          <w:ilvl w:val="0"/>
          <w:numId w:val="6"/>
        </w:numPr>
        <w:spacing w:before="97"/>
        <w:ind w:left="0" w:firstLine="420"/>
        <w:rPr>
          <w:sz w:val="21"/>
          <w:szCs w:val="21"/>
        </w:rPr>
      </w:pPr>
      <w:r>
        <w:rPr>
          <w:rFonts w:hint="eastAsia"/>
          <w:sz w:val="21"/>
          <w:szCs w:val="21"/>
        </w:rPr>
        <w:t>如在双方合作过程中，甲方存在相应的建议或意见，可直接联系乙方对接人，乙方承诺对于合理的建议或意见将进行及时反馈和整改。</w:t>
      </w:r>
    </w:p>
    <w:p>
      <w:pPr>
        <w:spacing w:before="97"/>
        <w:ind w:firstLine="420"/>
        <w:rPr>
          <w:sz w:val="21"/>
          <w:szCs w:val="21"/>
        </w:rPr>
      </w:pPr>
    </w:p>
    <w:p>
      <w:pPr>
        <w:pStyle w:val="19"/>
        <w:numPr>
          <w:ilvl w:val="0"/>
          <w:numId w:val="5"/>
        </w:numPr>
        <w:spacing w:before="97"/>
        <w:ind w:firstLineChars="0"/>
        <w:rPr>
          <w:sz w:val="21"/>
          <w:szCs w:val="21"/>
        </w:rPr>
      </w:pPr>
      <w:r>
        <w:rPr>
          <w:rFonts w:hint="eastAsia"/>
          <w:sz w:val="21"/>
          <w:szCs w:val="21"/>
        </w:rPr>
        <w:t>乙方的权利义务</w:t>
      </w:r>
    </w:p>
    <w:p>
      <w:pPr>
        <w:pStyle w:val="19"/>
        <w:numPr>
          <w:ilvl w:val="0"/>
          <w:numId w:val="7"/>
        </w:numPr>
        <w:spacing w:before="97"/>
        <w:ind w:left="0" w:firstLine="420"/>
        <w:rPr>
          <w:sz w:val="21"/>
          <w:szCs w:val="21"/>
        </w:rPr>
      </w:pPr>
      <w:r>
        <w:rPr>
          <w:rFonts w:hint="eastAsia"/>
          <w:sz w:val="21"/>
          <w:szCs w:val="21"/>
        </w:rPr>
        <w:t>因战争、自然灾害、政府行为等非因乙方原因导致的互联网系统故障、互联网通讯提供商故障、黑客攻击或电力部门技术调整或故障等不可抗力因素，或因政策变化或乙方业务方向调整导致的乙方无法履行本协议义务的，乙方无须承担责任。</w:t>
      </w:r>
    </w:p>
    <w:p>
      <w:pPr>
        <w:pStyle w:val="19"/>
        <w:numPr>
          <w:ilvl w:val="0"/>
          <w:numId w:val="7"/>
        </w:numPr>
        <w:spacing w:before="97"/>
        <w:ind w:left="0" w:firstLine="420"/>
        <w:rPr>
          <w:sz w:val="21"/>
          <w:szCs w:val="21"/>
        </w:rPr>
      </w:pPr>
      <w:r>
        <w:rPr>
          <w:rFonts w:hint="eastAsia"/>
          <w:sz w:val="21"/>
          <w:szCs w:val="21"/>
        </w:rPr>
        <w:t>在市场环境遇到严重外部影响，且非乙方之力所能解决的，乙方有权提出绩效目标重新修订，双方协商确定新目标。</w:t>
      </w:r>
    </w:p>
    <w:p>
      <w:pPr>
        <w:pStyle w:val="19"/>
        <w:spacing w:before="97"/>
      </w:pPr>
      <w:r>
        <w:rPr>
          <w:rFonts w:hint="eastAsia"/>
          <w:sz w:val="21"/>
          <w:szCs w:val="21"/>
        </w:rPr>
        <w:t>如乙方因为政策变动或自身的融资发展需要，可以向甲方提出将本协议相关的权利义务转移至乙方的关联方，甲方确认后可以向乙方的关联方提出签署合作协议的要求，乙方应当尽力促使其关联方与甲方签署合作协议。</w:t>
      </w:r>
    </w:p>
    <w:p>
      <w:pPr>
        <w:pStyle w:val="19"/>
        <w:numPr>
          <w:ilvl w:val="0"/>
          <w:numId w:val="7"/>
        </w:numPr>
        <w:spacing w:before="97"/>
        <w:ind w:left="0" w:firstLine="420"/>
        <w:rPr>
          <w:sz w:val="21"/>
          <w:szCs w:val="21"/>
        </w:rPr>
      </w:pPr>
      <w:r>
        <w:rPr>
          <w:rFonts w:hint="eastAsia"/>
          <w:sz w:val="21"/>
          <w:szCs w:val="21"/>
        </w:rPr>
        <w:t>乙方在未得到甲方授权的情况下，不得将甲方留存在乙方的数据信息用于和甲方业务无关的事宜。</w:t>
      </w:r>
    </w:p>
    <w:p>
      <w:pPr>
        <w:pStyle w:val="2"/>
        <w:numPr>
          <w:ilvl w:val="0"/>
          <w:numId w:val="1"/>
        </w:numPr>
        <w:spacing w:before="326"/>
        <w:ind w:left="0" w:firstLine="422"/>
        <w:rPr>
          <w:sz w:val="21"/>
          <w:szCs w:val="21"/>
        </w:rPr>
      </w:pPr>
      <w:r>
        <w:rPr>
          <w:rFonts w:hint="eastAsia"/>
          <w:sz w:val="21"/>
          <w:szCs w:val="21"/>
        </w:rPr>
        <w:t>知识产权</w:t>
      </w:r>
    </w:p>
    <w:p>
      <w:pPr>
        <w:spacing w:before="97"/>
        <w:ind w:firstLine="420"/>
        <w:rPr>
          <w:sz w:val="21"/>
          <w:szCs w:val="21"/>
        </w:rPr>
      </w:pPr>
      <w:r>
        <w:rPr>
          <w:sz w:val="21"/>
          <w:szCs w:val="21"/>
        </w:rPr>
        <w:t>1</w:t>
      </w:r>
      <w:r>
        <w:rPr>
          <w:rFonts w:hint="eastAsia"/>
          <w:sz w:val="21"/>
          <w:szCs w:val="21"/>
        </w:rPr>
        <w:t>、一方向另一方提供的企业名称、商标、商号、品牌、域名、网站、文件、图片、视频或其他商业资料应当确保不侵犯任何第三方的权益。</w:t>
      </w:r>
    </w:p>
    <w:p>
      <w:pPr>
        <w:spacing w:before="97"/>
        <w:ind w:firstLine="420"/>
        <w:rPr>
          <w:sz w:val="21"/>
          <w:szCs w:val="21"/>
        </w:rPr>
      </w:pPr>
      <w:r>
        <w:rPr>
          <w:sz w:val="21"/>
          <w:szCs w:val="21"/>
        </w:rPr>
        <w:t>2</w:t>
      </w:r>
      <w:r>
        <w:rPr>
          <w:rFonts w:hint="eastAsia"/>
          <w:sz w:val="21"/>
          <w:szCs w:val="21"/>
        </w:rPr>
        <w:t>、一方在使用另一方的企业名称、商标、商号、品牌、域名、网站或其他商业资料时，应当完全只限于履行本协议中约定的权利义务内容，不得夹带其它业务内容或经营目的。</w:t>
      </w:r>
    </w:p>
    <w:p>
      <w:pPr>
        <w:spacing w:before="97"/>
        <w:ind w:firstLine="420"/>
        <w:rPr>
          <w:sz w:val="21"/>
          <w:szCs w:val="21"/>
        </w:rPr>
      </w:pPr>
      <w:r>
        <w:rPr>
          <w:sz w:val="21"/>
          <w:szCs w:val="21"/>
        </w:rPr>
        <w:t>3</w:t>
      </w:r>
      <w:r>
        <w:rPr>
          <w:rFonts w:hint="eastAsia"/>
          <w:sz w:val="21"/>
          <w:szCs w:val="21"/>
        </w:rPr>
        <w:t>、一方可以未经另一方允许在自身的宣传资料中使用另一方的企业名称、商标、商号、品牌、域名和网站，但在使用后应当及时告知另一方。</w:t>
      </w:r>
    </w:p>
    <w:p>
      <w:pPr>
        <w:spacing w:before="97"/>
        <w:ind w:firstLine="420"/>
        <w:rPr>
          <w:sz w:val="21"/>
          <w:szCs w:val="21"/>
        </w:rPr>
      </w:pPr>
      <w:r>
        <w:rPr>
          <w:sz w:val="21"/>
          <w:szCs w:val="21"/>
        </w:rPr>
        <w:t>4</w:t>
      </w:r>
      <w:r>
        <w:rPr>
          <w:rFonts w:hint="eastAsia"/>
          <w:sz w:val="21"/>
          <w:szCs w:val="21"/>
        </w:rPr>
        <w:t>、双方承诺在履行本协议期间及在本协议期满后不得对对方所拥有的商标、商号及商誉等进行贬低或者其它任何损害，也不对对方所有的网站、</w:t>
      </w:r>
      <w:r>
        <w:rPr>
          <w:sz w:val="21"/>
          <w:szCs w:val="21"/>
        </w:rPr>
        <w:t>APP</w:t>
      </w:r>
      <w:r>
        <w:rPr>
          <w:rFonts w:hint="eastAsia"/>
          <w:sz w:val="21"/>
          <w:szCs w:val="21"/>
        </w:rPr>
        <w:t>等进行任何贬低、抄袭、歪曲、破坏或其它损害。</w:t>
      </w:r>
    </w:p>
    <w:p>
      <w:pPr>
        <w:spacing w:before="97"/>
        <w:ind w:firstLine="420"/>
        <w:rPr>
          <w:sz w:val="21"/>
          <w:szCs w:val="21"/>
        </w:rPr>
      </w:pPr>
      <w:r>
        <w:rPr>
          <w:sz w:val="21"/>
          <w:szCs w:val="21"/>
        </w:rPr>
        <w:t>5</w:t>
      </w:r>
      <w:r>
        <w:rPr>
          <w:rFonts w:hint="eastAsia"/>
          <w:sz w:val="21"/>
          <w:szCs w:val="21"/>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6</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80" w:firstLineChars="0"/>
        <w:rPr>
          <w:sz w:val="21"/>
          <w:szCs w:val="21"/>
        </w:rPr>
      </w:pPr>
      <w:r>
        <w:rPr>
          <w:sz w:val="21"/>
          <w:szCs w:val="21"/>
        </w:rPr>
        <w:t>1</w:t>
      </w:r>
      <w:r>
        <w:rPr>
          <w:rFonts w:hint="eastAsia"/>
          <w:sz w:val="21"/>
          <w:szCs w:val="21"/>
        </w:rPr>
        <w:t>、甲方或甲方工作人员不得以任何名义向乙方任何员工私下直接或间接赠送礼金、物品、有价证券或采取其他变相手段提供不正当利益。否则均视为侵害乙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80" w:firstLineChars="0"/>
        <w:rPr>
          <w:sz w:val="21"/>
          <w:szCs w:val="21"/>
        </w:rPr>
      </w:pPr>
      <w:r>
        <w:rPr>
          <w:sz w:val="21"/>
          <w:szCs w:val="21"/>
        </w:rPr>
        <w:t>2</w:t>
      </w:r>
      <w:r>
        <w:rPr>
          <w:rFonts w:hint="eastAsia"/>
          <w:sz w:val="21"/>
          <w:szCs w:val="21"/>
        </w:rPr>
        <w:t>、协助义务：若乙方员工要求甲方给予其任何形式的不正当利益，甲方必须及时投诉，并提供相关证据给乙方，乙方将会遵循保密、客观的原则进行调查。若投诉事实一经查证属实，乙方将给予甲方一定的奖励。</w:t>
      </w:r>
    </w:p>
    <w:p>
      <w:pPr>
        <w:spacing w:before="97"/>
        <w:ind w:firstLine="480" w:firstLineChars="0"/>
        <w:rPr>
          <w:sz w:val="21"/>
          <w:szCs w:val="21"/>
        </w:rPr>
      </w:pPr>
      <w:r>
        <w:rPr>
          <w:sz w:val="21"/>
          <w:szCs w:val="21"/>
        </w:rPr>
        <w:t>3</w:t>
      </w:r>
      <w:r>
        <w:rPr>
          <w:rFonts w:hint="eastAsia"/>
          <w:sz w:val="21"/>
          <w:szCs w:val="21"/>
        </w:rPr>
        <w:t>、违约责任：若甲方违反本规定，贿赂乙方任何员工，以图获取任何不正当商业利益或更特殊的商业待遇，或未配合乙方查处其员工的受贿行为的，乙方有权终止经济活动及本协议。基于实质性违约行为，乙方可要求甲方支付</w:t>
      </w:r>
      <w:r>
        <w:rPr>
          <w:sz w:val="21"/>
          <w:szCs w:val="21"/>
        </w:rPr>
        <w:t>10</w:t>
      </w:r>
      <w:r>
        <w:rPr>
          <w:rFonts w:hint="eastAsia"/>
          <w:sz w:val="21"/>
          <w:szCs w:val="21"/>
        </w:rPr>
        <w:t>万元人民币作为违约金。情节严重者，乙方将保留追究甲方违约行为所造成的全部经济及名誉损失，并追究甲方及其员工的刑事责任。</w:t>
      </w:r>
    </w:p>
    <w:p>
      <w:pPr>
        <w:spacing w:before="97"/>
        <w:ind w:firstLine="420"/>
        <w:rPr>
          <w:sz w:val="21"/>
          <w:szCs w:val="21"/>
        </w:rPr>
      </w:pPr>
      <w:r>
        <w:rPr>
          <w:sz w:val="21"/>
          <w:szCs w:val="21"/>
        </w:rPr>
        <w:t>4</w:t>
      </w:r>
      <w:r>
        <w:rPr>
          <w:rFonts w:hint="eastAsia"/>
          <w:sz w:val="21"/>
          <w:szCs w:val="21"/>
        </w:rPr>
        <w:t>、为方便以上执行，乙方特别设立投诉举报热线和举报邮箱如下：</w:t>
      </w:r>
    </w:p>
    <w:p>
      <w:pPr>
        <w:spacing w:before="97"/>
        <w:ind w:firstLine="480" w:firstLineChars="0"/>
        <w:rPr>
          <w:sz w:val="21"/>
          <w:szCs w:val="21"/>
        </w:rPr>
      </w:pPr>
      <w:r>
        <w:rPr>
          <w:rFonts w:hint="eastAsia"/>
          <w:sz w:val="21"/>
          <w:szCs w:val="21"/>
        </w:rPr>
        <w:t>举报电话：</w:t>
      </w:r>
    </w:p>
    <w:p>
      <w:pPr>
        <w:pStyle w:val="19"/>
        <w:spacing w:before="97"/>
        <w:ind w:left="420" w:firstLine="0" w:firstLineChars="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7"/>
          <w:rFonts w:hint="eastAsia"/>
          <w:b/>
          <w:bCs w:val="0"/>
          <w:sz w:val="21"/>
          <w:szCs w:val="21"/>
        </w:rPr>
        <w:t>佣</w:t>
      </w:r>
      <w:r>
        <w:rPr>
          <w:rFonts w:hint="eastAsia"/>
          <w:sz w:val="21"/>
          <w:szCs w:val="21"/>
        </w:rPr>
        <w:t>条款</w:t>
      </w:r>
    </w:p>
    <w:p>
      <w:pPr>
        <w:spacing w:before="97"/>
        <w:ind w:firstLine="422"/>
        <w:rPr>
          <w:sz w:val="21"/>
          <w:szCs w:val="21"/>
        </w:rPr>
      </w:pPr>
      <w:r>
        <w:rPr>
          <w:b/>
          <w:sz w:val="21"/>
          <w:szCs w:val="21"/>
        </w:rPr>
        <w:t>1</w:t>
      </w:r>
      <w:r>
        <w:rPr>
          <w:rFonts w:hint="eastAsia"/>
          <w:b/>
          <w:sz w:val="21"/>
          <w:szCs w:val="21"/>
        </w:rPr>
        <w:t>、本协议有效期内及协议履行完毕、终止或解除后</w:t>
      </w:r>
      <w:r>
        <w:rPr>
          <w:b/>
          <w:sz w:val="21"/>
          <w:szCs w:val="21"/>
        </w:rPr>
        <w:t>2</w:t>
      </w:r>
      <w:r>
        <w:rPr>
          <w:rFonts w:hint="eastAsia"/>
          <w:b/>
          <w:sz w:val="21"/>
          <w:szCs w:val="21"/>
        </w:rPr>
        <w:t>年内</w:t>
      </w:r>
      <w:r>
        <w:rPr>
          <w:rFonts w:hint="eastAsia"/>
          <w:sz w:val="21"/>
          <w:szCs w:val="21"/>
        </w:rPr>
        <w:t>，任何一方不得雇佣另一方的任何员工，或唆使、引诱另一方员工离职，但书面获得另一方许可的除外。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、若任何一方违反了本条规定，视为严重违约。在合同有效期内，守约方有权以书面形式通知违约方单方终止本协议，同时保留依法采取进一步法律措施的权利，违约方应承担由此给守约方带来的一切损失。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3</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rFonts w:hint="eastAsia"/>
          <w:sz w:val="21"/>
          <w:szCs w:val="21"/>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46" w:firstLineChars="22"/>
        <w:rPr>
          <w:sz w:val="21"/>
          <w:szCs w:val="21"/>
        </w:rPr>
      </w:pPr>
      <w:r>
        <w:rPr>
          <w:rFonts w:hint="eastAsia"/>
          <w:sz w:val="21"/>
          <w:szCs w:val="21"/>
        </w:rPr>
        <w:t>2、对于本协议中描述的保密信息，双方及其代理人、代表应当：</w:t>
      </w:r>
    </w:p>
    <w:p>
      <w:pPr>
        <w:spacing w:before="0" w:beforeLines="0"/>
        <w:ind w:firstLine="420"/>
        <w:rPr>
          <w:sz w:val="21"/>
          <w:szCs w:val="21"/>
        </w:rPr>
      </w:pPr>
      <w:r>
        <w:rPr>
          <w:rFonts w:hint="eastAsia"/>
          <w:sz w:val="21"/>
          <w:szCs w:val="21"/>
        </w:rPr>
        <w:t>（1）以不低于保护自己保密信息的程度（至少以合理程度）予以保密；</w:t>
      </w:r>
    </w:p>
    <w:p>
      <w:pPr>
        <w:spacing w:before="0" w:beforeLines="0"/>
        <w:ind w:firstLine="420"/>
        <w:rPr>
          <w:sz w:val="21"/>
          <w:szCs w:val="21"/>
        </w:rPr>
      </w:pPr>
      <w:r>
        <w:rPr>
          <w:rFonts w:hint="eastAsia"/>
          <w:sz w:val="21"/>
          <w:szCs w:val="21"/>
        </w:rPr>
        <w:t>（2）要求获知保密信息的雇员或被委托方对保密信息予以保密；</w:t>
      </w:r>
    </w:p>
    <w:p>
      <w:pPr>
        <w:spacing w:before="0" w:beforeLines="0"/>
        <w:ind w:firstLine="420"/>
        <w:rPr>
          <w:sz w:val="21"/>
          <w:szCs w:val="21"/>
        </w:rPr>
      </w:pPr>
      <w:r>
        <w:rPr>
          <w:rFonts w:hint="eastAsia"/>
          <w:sz w:val="21"/>
          <w:szCs w:val="21"/>
        </w:rPr>
        <w:t>（3）在必要情况下，根据双方书面商定的方式使用保密信息。</w:t>
      </w:r>
    </w:p>
    <w:p>
      <w:pPr>
        <w:spacing w:before="97"/>
        <w:ind w:firstLine="420"/>
        <w:rPr>
          <w:sz w:val="21"/>
          <w:szCs w:val="21"/>
        </w:rPr>
      </w:pPr>
      <w:r>
        <w:rPr>
          <w:rFonts w:hint="eastAsia"/>
          <w:sz w:val="21"/>
          <w:szCs w:val="21"/>
        </w:rPr>
        <w:t>3、对于以下信息，双方均免除保密责任：</w:t>
      </w:r>
    </w:p>
    <w:p>
      <w:pPr>
        <w:spacing w:before="0" w:beforeLines="0"/>
        <w:ind w:firstLine="420"/>
        <w:rPr>
          <w:sz w:val="21"/>
          <w:szCs w:val="21"/>
        </w:rPr>
      </w:pPr>
      <w:r>
        <w:rPr>
          <w:rFonts w:hint="eastAsia"/>
          <w:sz w:val="21"/>
          <w:szCs w:val="21"/>
        </w:rPr>
        <w:t>（1）公众通过合法途径获知的信息；从非本协议签署方获知的，并未违反本协议项下任何保密责任的信息；</w:t>
      </w:r>
    </w:p>
    <w:p>
      <w:pPr>
        <w:spacing w:before="0" w:beforeLines="0"/>
        <w:ind w:firstLine="420"/>
        <w:rPr>
          <w:sz w:val="21"/>
          <w:szCs w:val="21"/>
        </w:rPr>
      </w:pPr>
      <w:r>
        <w:rPr>
          <w:rFonts w:hint="eastAsia"/>
          <w:sz w:val="21"/>
          <w:szCs w:val="21"/>
        </w:rPr>
        <w:t>（2）为法律或有管辖权的政府部门根据法令所要求透露的信息，或者根据法律程序而要求透露的信息。</w:t>
      </w:r>
    </w:p>
    <w:p>
      <w:pPr>
        <w:spacing w:before="97"/>
        <w:ind w:firstLine="420"/>
        <w:rPr>
          <w:sz w:val="21"/>
          <w:szCs w:val="21"/>
        </w:rPr>
      </w:pPr>
      <w:r>
        <w:rPr>
          <w:rFonts w:hint="eastAsia"/>
          <w:sz w:val="21"/>
          <w:szCs w:val="21"/>
        </w:rPr>
        <w:t>4、本协议中所有协议条款均属商业秘密，一方在未经另一方书面许可的情况下，不能以任何理由向第三方透露。</w:t>
      </w:r>
    </w:p>
    <w:p>
      <w:pPr>
        <w:spacing w:before="97"/>
        <w:ind w:firstLine="420"/>
        <w:rPr>
          <w:sz w:val="21"/>
          <w:szCs w:val="21"/>
        </w:rPr>
      </w:pPr>
      <w:r>
        <w:rPr>
          <w:sz w:val="21"/>
          <w:szCs w:val="21"/>
        </w:rPr>
        <w:t>5</w:t>
      </w:r>
      <w:r>
        <w:rPr>
          <w:rFonts w:hint="eastAsia"/>
          <w:sz w:val="21"/>
          <w:szCs w:val="21"/>
        </w:rPr>
        <w:t>、一方违反本条约定的，若视为严重违约。守约方有权以书面形式通知违约方单方终止本协议，同时保留依法采取进一步法律措施的权利，违约方应承担由此给守约方带来的一切损失。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6</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不可抗力</w:t>
      </w:r>
    </w:p>
    <w:p>
      <w:pPr>
        <w:pStyle w:val="19"/>
        <w:numPr>
          <w:ilvl w:val="0"/>
          <w:numId w:val="8"/>
        </w:numPr>
        <w:spacing w:before="97"/>
        <w:ind w:left="0" w:firstLine="420"/>
      </w:pPr>
      <w:r>
        <w:rPr>
          <w:rFonts w:hint="eastAsia"/>
          <w:sz w:val="21"/>
          <w:szCs w:val="21"/>
        </w:rPr>
        <w:t>若有战争、地震、雷击、水灾、火灾、政府行为等不可抗力致使双方不能按约定履行协议，则本协议的履行时间予以延期，双方均不对因不可抗力造成的损失承担责任。</w:t>
      </w:r>
    </w:p>
    <w:p>
      <w:pPr>
        <w:pStyle w:val="19"/>
        <w:numPr>
          <w:ilvl w:val="0"/>
          <w:numId w:val="8"/>
        </w:numPr>
        <w:spacing w:before="97"/>
        <w:ind w:left="0" w:firstLine="420"/>
      </w:pP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pStyle w:val="19"/>
        <w:numPr>
          <w:ilvl w:val="0"/>
          <w:numId w:val="9"/>
        </w:numPr>
        <w:spacing w:before="97"/>
        <w:ind w:left="0" w:firstLine="420"/>
      </w:pPr>
      <w:r>
        <w:rPr>
          <w:rFonts w:hint="eastAsia"/>
          <w:sz w:val="21"/>
          <w:szCs w:val="21"/>
        </w:rPr>
        <w:t>如甲方不能按照约定的时间足额向乙方支付费用，则应每日按照拖欠款项的</w:t>
      </w:r>
      <w:r>
        <w:rPr>
          <w:sz w:val="21"/>
          <w:szCs w:val="21"/>
        </w:rPr>
        <w:t>4</w:t>
      </w:r>
      <w:r>
        <w:rPr>
          <w:rFonts w:hint="eastAsia"/>
          <w:sz w:val="21"/>
          <w:szCs w:val="21"/>
        </w:rPr>
        <w:t>‰向乙方支付违约金</w:t>
      </w:r>
      <w:r>
        <w:rPr>
          <w:rFonts w:hint="eastAsia"/>
          <w:sz w:val="21"/>
          <w:szCs w:val="21"/>
          <w:highlight w:val="none"/>
        </w:rPr>
        <w:t>，拖欠超过【】个工作日，乙方有权</w:t>
      </w:r>
      <w:r>
        <w:rPr>
          <w:rFonts w:hint="eastAsia"/>
          <w:sz w:val="21"/>
          <w:szCs w:val="21"/>
        </w:rPr>
        <w:t>单方通知解除本协议，并向甲方追索所有欠款，包括但不限于合同费用、违约金以及为实现该笔结算款所涉债权而支付的维权费用如诉讼费律师费保全费执行费公证费差旅费等一切损失。</w:t>
      </w:r>
    </w:p>
    <w:p>
      <w:pPr>
        <w:pStyle w:val="19"/>
        <w:numPr>
          <w:ilvl w:val="0"/>
          <w:numId w:val="9"/>
        </w:numPr>
        <w:spacing w:before="97"/>
        <w:ind w:left="0" w:firstLine="420"/>
      </w:pPr>
      <w:r>
        <w:rPr>
          <w:rFonts w:hint="eastAsia"/>
          <w:sz w:val="21"/>
          <w:szCs w:val="21"/>
        </w:rPr>
        <w:t>甲方如存在以下行为的，乙方有权自行中止提供服务或书面通知单方解除本协议。如甲方以下行为给乙方造成损失的，乙方有权要求甲方赔偿损失：</w:t>
      </w:r>
    </w:p>
    <w:p>
      <w:pPr>
        <w:pStyle w:val="19"/>
        <w:numPr>
          <w:ilvl w:val="0"/>
          <w:numId w:val="10"/>
        </w:numPr>
        <w:spacing w:before="97"/>
        <w:ind w:firstLineChars="0"/>
      </w:pPr>
      <w:r>
        <w:rPr>
          <w:rFonts w:hint="eastAsia"/>
          <w:sz w:val="21"/>
          <w:szCs w:val="21"/>
        </w:rPr>
        <w:t>恶意使用或违反诚实信用原则使用乙方S</w:t>
      </w:r>
      <w:r>
        <w:rPr>
          <w:sz w:val="21"/>
          <w:szCs w:val="21"/>
        </w:rPr>
        <w:t>aaS</w:t>
      </w:r>
      <w:r>
        <w:rPr>
          <w:rFonts w:hint="eastAsia"/>
          <w:sz w:val="21"/>
          <w:szCs w:val="21"/>
        </w:rPr>
        <w:t>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将在系统中的编号、账号以及密码擅自转让、转授权或提供给任何第三方使用，或者过失泄露给第三方且未及时通知甲方；</w:t>
      </w:r>
    </w:p>
    <w:p>
      <w:pPr>
        <w:pStyle w:val="19"/>
        <w:numPr>
          <w:ilvl w:val="0"/>
          <w:numId w:val="10"/>
        </w:numPr>
        <w:spacing w:before="97"/>
        <w:ind w:firstLineChars="0"/>
      </w:pPr>
      <w:r>
        <w:rPr>
          <w:rFonts w:hint="eastAsia"/>
          <w:sz w:val="21"/>
          <w:szCs w:val="21"/>
        </w:rPr>
        <w:t>对乙方S</w:t>
      </w:r>
      <w:r>
        <w:rPr>
          <w:sz w:val="21"/>
          <w:szCs w:val="21"/>
        </w:rPr>
        <w:t>aaS</w:t>
      </w:r>
      <w:r>
        <w:rPr>
          <w:rFonts w:hint="eastAsia"/>
          <w:sz w:val="21"/>
          <w:szCs w:val="21"/>
        </w:rPr>
        <w:t>系统发起恶意数据攻击（包括但不限于对乙方服务系统、其他编号、账号攻击；篡改系统代码；篡改系统公共数据、公示信息等）；</w:t>
      </w:r>
    </w:p>
    <w:p>
      <w:pPr>
        <w:numPr>
          <w:ilvl w:val="0"/>
          <w:numId w:val="10"/>
        </w:numPr>
        <w:spacing w:before="97"/>
        <w:ind w:firstLineChars="0"/>
        <w:rPr>
          <w:sz w:val="21"/>
          <w:szCs w:val="21"/>
        </w:rPr>
      </w:pPr>
      <w:r>
        <w:rPr>
          <w:rFonts w:hint="eastAsia"/>
          <w:sz w:val="21"/>
          <w:szCs w:val="21"/>
        </w:rPr>
        <w:t>司法机关、行政机关要求乙方向甲方出具中止或终止对甲方服务的书面通知；</w:t>
      </w:r>
    </w:p>
    <w:p>
      <w:pPr>
        <w:numPr>
          <w:ilvl w:val="0"/>
          <w:numId w:val="10"/>
        </w:numPr>
        <w:spacing w:before="97"/>
        <w:ind w:firstLineChars="0"/>
        <w:rPr>
          <w:sz w:val="21"/>
          <w:szCs w:val="21"/>
        </w:rPr>
      </w:pPr>
      <w:r>
        <w:rPr>
          <w:rFonts w:hint="eastAsia"/>
          <w:sz w:val="21"/>
          <w:szCs w:val="21"/>
        </w:rPr>
        <w:t>甲方存在违反《互联网信息服务管理办法（</w:t>
      </w:r>
      <w:r>
        <w:rPr>
          <w:sz w:val="21"/>
          <w:szCs w:val="21"/>
        </w:rPr>
        <w:t>2011</w:t>
      </w:r>
      <w:r>
        <w:rPr>
          <w:rFonts w:hint="eastAsia"/>
          <w:sz w:val="21"/>
          <w:szCs w:val="21"/>
        </w:rPr>
        <w:t>年修订）》第十五条规定的情形。</w:t>
      </w:r>
    </w:p>
    <w:p>
      <w:pPr>
        <w:pStyle w:val="19"/>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甲乙双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pStyle w:val="19"/>
        <w:numPr>
          <w:ilvl w:val="0"/>
          <w:numId w:val="9"/>
        </w:numPr>
        <w:spacing w:before="97"/>
        <w:ind w:left="0" w:firstLine="420"/>
        <w:rPr>
          <w:sz w:val="21"/>
          <w:szCs w:val="21"/>
        </w:rPr>
      </w:pPr>
      <w:r>
        <w:rPr>
          <w:rFonts w:hint="eastAsia"/>
          <w:sz w:val="21"/>
          <w:szCs w:val="21"/>
        </w:rPr>
        <w:t>除另有约定外，为避免歧义，本协议项下的“损失”或“一切损失”是指因解约导致一方产生的成本、一方解约前正常履约产生的费用、双方未结算费用、律师费、诉讼费、保全费、担保费、差旅费、公证费等。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19"/>
        <w:numPr>
          <w:ilvl w:val="0"/>
          <w:numId w:val="11"/>
        </w:numPr>
        <w:spacing w:before="97"/>
        <w:ind w:left="0" w:firstLine="420"/>
        <w:rPr>
          <w:sz w:val="21"/>
          <w:szCs w:val="21"/>
        </w:rPr>
      </w:pPr>
      <w:bookmarkStart w:id="0"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9"/>
        <w:numPr>
          <w:ilvl w:val="0"/>
          <w:numId w:val="11"/>
        </w:numPr>
        <w:spacing w:before="97"/>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19"/>
        <w:numPr>
          <w:ilvl w:val="0"/>
          <w:numId w:val="11"/>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19"/>
        <w:numPr>
          <w:ilvl w:val="0"/>
          <w:numId w:val="11"/>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0"/>
    </w:p>
    <w:p>
      <w:pPr>
        <w:pStyle w:val="2"/>
        <w:numPr>
          <w:ilvl w:val="0"/>
          <w:numId w:val="1"/>
        </w:numPr>
        <w:spacing w:before="326"/>
        <w:ind w:left="0" w:firstLine="422"/>
        <w:rPr>
          <w:sz w:val="21"/>
          <w:szCs w:val="21"/>
        </w:rPr>
      </w:pPr>
      <w:r>
        <w:rPr>
          <w:rFonts w:hint="eastAsia"/>
          <w:sz w:val="21"/>
          <w:szCs w:val="21"/>
        </w:rPr>
        <w:t>附加文本的效力</w:t>
      </w:r>
    </w:p>
    <w:p>
      <w:pPr>
        <w:spacing w:before="97"/>
        <w:ind w:firstLine="420"/>
        <w:rPr>
          <w:sz w:val="21"/>
          <w:szCs w:val="21"/>
        </w:rPr>
      </w:pPr>
      <w:r>
        <w:rPr>
          <w:sz w:val="21"/>
          <w:szCs w:val="21"/>
        </w:rPr>
        <w:t>1</w:t>
      </w:r>
      <w:r>
        <w:rPr>
          <w:rFonts w:hint="eastAsia"/>
          <w:sz w:val="21"/>
          <w:szCs w:val="21"/>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20"/>
        <w:rPr>
          <w:sz w:val="21"/>
          <w:szCs w:val="21"/>
        </w:rPr>
      </w:pPr>
      <w:r>
        <w:rPr>
          <w:sz w:val="21"/>
          <w:szCs w:val="21"/>
        </w:rPr>
        <w:t>2</w:t>
      </w:r>
      <w:r>
        <w:rPr>
          <w:rFonts w:hint="eastAsia"/>
          <w:sz w:val="21"/>
          <w:szCs w:val="21"/>
        </w:rPr>
        <w:t>、本协议如有附件，也同为本协议不可分割的一部分，具备同等法律效力。</w:t>
      </w:r>
    </w:p>
    <w:p>
      <w:pPr>
        <w:pStyle w:val="2"/>
        <w:numPr>
          <w:ilvl w:val="0"/>
          <w:numId w:val="1"/>
        </w:numPr>
        <w:spacing w:before="326"/>
        <w:ind w:left="0" w:firstLine="422"/>
        <w:rPr>
          <w:sz w:val="21"/>
          <w:szCs w:val="21"/>
        </w:rPr>
      </w:pPr>
      <w:r>
        <w:rPr>
          <w:rFonts w:hint="eastAsia"/>
          <w:sz w:val="21"/>
          <w:szCs w:val="21"/>
        </w:rPr>
        <w:t>争议解决</w:t>
      </w:r>
    </w:p>
    <w:p>
      <w:pPr>
        <w:spacing w:before="97"/>
        <w:ind w:firstLine="420"/>
        <w:rPr>
          <w:sz w:val="21"/>
          <w:szCs w:val="21"/>
        </w:rPr>
      </w:pPr>
      <w:r>
        <w:rPr>
          <w:sz w:val="21"/>
          <w:szCs w:val="21"/>
        </w:rPr>
        <w:t>1</w:t>
      </w:r>
      <w:r>
        <w:rPr>
          <w:rFonts w:hint="eastAsia"/>
          <w:sz w:val="21"/>
          <w:szCs w:val="21"/>
        </w:rPr>
        <w:t>、双方一致确定，本协议的效力、履行、解释及争议解决均适用中国法律。</w:t>
      </w:r>
    </w:p>
    <w:p>
      <w:pPr>
        <w:spacing w:before="97"/>
        <w:ind w:firstLine="420"/>
        <w:rPr>
          <w:sz w:val="21"/>
          <w:szCs w:val="21"/>
        </w:rPr>
      </w:pPr>
      <w:r>
        <w:rPr>
          <w:rFonts w:hint="eastAsia"/>
          <w:sz w:val="21"/>
          <w:szCs w:val="21"/>
        </w:rPr>
        <w:t>2、因本协议的签订、效力、履行、解释或因与本协议的其他事项而产生的任何争议应立即由双方友好协商解决。任何一方向另一方送达协商通知时，协商应立即开始进行。</w:t>
      </w:r>
    </w:p>
    <w:p>
      <w:pPr>
        <w:spacing w:before="97"/>
        <w:ind w:firstLine="420"/>
        <w:rPr>
          <w:sz w:val="21"/>
          <w:szCs w:val="21"/>
        </w:rPr>
      </w:pPr>
      <w:r>
        <w:rPr>
          <w:sz w:val="21"/>
          <w:szCs w:val="21"/>
        </w:rPr>
        <w:t>3</w:t>
      </w:r>
      <w:r>
        <w:rPr>
          <w:rFonts w:hint="eastAsia"/>
          <w:sz w:val="21"/>
          <w:szCs w:val="21"/>
        </w:rPr>
        <w:t>、协商通知送达后三十（</w:t>
      </w:r>
      <w:r>
        <w:rPr>
          <w:sz w:val="21"/>
          <w:szCs w:val="21"/>
        </w:rPr>
        <w:t>30</w:t>
      </w:r>
      <w:r>
        <w:rPr>
          <w:rFonts w:hint="eastAsia"/>
          <w:sz w:val="21"/>
          <w:szCs w:val="21"/>
        </w:rPr>
        <w:t>）日内争议仍无法得到解决，任何一方可选择向协议签署地的人民法院提起诉讼。</w:t>
      </w:r>
    </w:p>
    <w:p>
      <w:pPr>
        <w:pStyle w:val="2"/>
        <w:numPr>
          <w:ilvl w:val="0"/>
          <w:numId w:val="1"/>
        </w:numPr>
        <w:spacing w:before="326"/>
        <w:ind w:left="0" w:firstLine="422"/>
        <w:rPr>
          <w:sz w:val="21"/>
          <w:szCs w:val="21"/>
        </w:rPr>
      </w:pPr>
      <w:r>
        <w:rPr>
          <w:rFonts w:hint="eastAsia"/>
          <w:sz w:val="21"/>
          <w:szCs w:val="21"/>
        </w:rPr>
        <w:t>协议的生效</w:t>
      </w:r>
    </w:p>
    <w:p>
      <w:pPr>
        <w:spacing w:before="97"/>
        <w:ind w:firstLine="420"/>
        <w:rPr>
          <w:sz w:val="21"/>
          <w:szCs w:val="21"/>
        </w:rPr>
      </w:pPr>
      <w:r>
        <w:rPr>
          <w:sz w:val="21"/>
          <w:szCs w:val="21"/>
        </w:rPr>
        <w:t>1</w:t>
      </w:r>
      <w:r>
        <w:rPr>
          <w:rFonts w:hint="eastAsia"/>
          <w:sz w:val="21"/>
          <w:szCs w:val="21"/>
        </w:rPr>
        <w:t>、本协议一式两份，双方各执一份，具有同等效力。本协议经双方盖章或签字后生效。</w:t>
      </w:r>
    </w:p>
    <w:p>
      <w:pPr>
        <w:spacing w:before="97"/>
        <w:ind w:firstLine="422"/>
        <w:rPr>
          <w:b/>
          <w:sz w:val="21"/>
          <w:szCs w:val="21"/>
        </w:rPr>
      </w:pPr>
      <w:r>
        <w:rPr>
          <w:b/>
          <w:sz w:val="21"/>
          <w:szCs w:val="21"/>
        </w:rPr>
        <w:t>2</w:t>
      </w:r>
      <w:r>
        <w:rPr>
          <w:rFonts w:hint="eastAsia"/>
          <w:b/>
          <w:sz w:val="21"/>
          <w:szCs w:val="21"/>
        </w:rPr>
        <w:t>、本协议取代双方之前关于合作事项的任何口头和书面约定。</w:t>
      </w:r>
    </w:p>
    <w:p>
      <w:pPr>
        <w:spacing w:before="97"/>
        <w:ind w:firstLine="422"/>
        <w:rPr>
          <w:b/>
          <w:sz w:val="21"/>
          <w:szCs w:val="21"/>
        </w:rPr>
      </w:pPr>
    </w:p>
    <w:p>
      <w:pPr>
        <w:spacing w:before="97"/>
        <w:ind w:firstLine="422"/>
        <w:rPr>
          <w:b/>
          <w:sz w:val="21"/>
          <w:szCs w:val="21"/>
        </w:rPr>
      </w:pPr>
    </w:p>
    <w:p>
      <w:pPr>
        <w:spacing w:before="97"/>
        <w:ind w:firstLine="422"/>
        <w:rPr>
          <w:b/>
          <w:sz w:val="21"/>
          <w:szCs w:val="21"/>
        </w:rPr>
        <w:sectPr>
          <w:pgSz w:w="11906" w:h="16838"/>
          <w:pgMar w:top="1440" w:right="1700" w:bottom="1440" w:left="1560" w:header="283" w:footer="992" w:gutter="0"/>
          <w:cols w:space="425" w:num="1"/>
          <w:docGrid w:type="lines" w:linePitch="326" w:charSpace="0"/>
        </w:sectPr>
      </w:pPr>
    </w:p>
    <w:p>
      <w:pPr>
        <w:spacing w:before="97"/>
        <w:ind w:firstLine="0" w:firstLineChars="0"/>
        <w:rPr>
          <w:b/>
          <w:bCs/>
          <w:sz w:val="21"/>
          <w:szCs w:val="21"/>
        </w:rPr>
      </w:pPr>
      <w:r>
        <w:rPr>
          <w:rFonts w:hint="eastAsia"/>
          <w:b/>
          <w:bCs/>
          <w:sz w:val="21"/>
          <w:szCs w:val="21"/>
        </w:rPr>
        <w:t>（此页无正文，仅为广州汇登信息科技有限公司之《酒店产品分销的合作协议》的签字盖章页。有鉴于此，甲、乙方于本页所述日期签署本协议，以昭信守）</w:t>
      </w:r>
    </w:p>
    <w:p>
      <w:pPr>
        <w:spacing w:before="97"/>
        <w:ind w:firstLine="0" w:firstLineChars="0"/>
        <w:rPr>
          <w:b/>
          <w:bCs/>
          <w:sz w:val="21"/>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402"/>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r>
              <w:rPr>
                <w:rFonts w:hint="eastAsia"/>
                <w:b/>
                <w:bCs/>
                <w:sz w:val="21"/>
                <w:szCs w:val="21"/>
              </w:rPr>
              <w:t>广州汇登信息科技有限公司</w:t>
            </w: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r>
              <w:rPr>
                <w:b/>
                <w:bCs/>
                <w:sz w:val="21"/>
                <w:szCs w:val="21"/>
              </w:rPr>
              <w:t>3</w:t>
            </w:r>
            <w:r>
              <w:rPr>
                <w:rFonts w:hint="eastAsia"/>
                <w:b/>
                <w:bCs/>
                <w:sz w:val="21"/>
                <w:szCs w:val="21"/>
              </w:rPr>
              <w:t>、本协议于以上日期在广州市天河区签署。</w:t>
            </w:r>
          </w:p>
        </w:tc>
      </w:tr>
    </w:tbl>
    <w:p>
      <w:pPr>
        <w:spacing w:before="489" w:beforeLines="150"/>
        <w:ind w:firstLine="420"/>
        <w:rPr>
          <w:sz w:val="21"/>
          <w:szCs w:val="21"/>
        </w:rPr>
        <w:sectPr>
          <w:pgSz w:w="11906" w:h="16838"/>
          <w:pgMar w:top="1440" w:right="1700" w:bottom="1440" w:left="1560" w:header="283" w:footer="992" w:gutter="0"/>
          <w:cols w:space="425" w:num="1"/>
          <w:docGrid w:type="lines" w:linePitch="326" w:charSpace="0"/>
        </w:sectPr>
      </w:pPr>
    </w:p>
    <w:p>
      <w:pPr>
        <w:spacing w:before="489" w:beforeLines="150"/>
        <w:ind w:firstLine="0" w:firstLineChars="0"/>
        <w:rPr>
          <w:b/>
          <w:bCs/>
          <w:sz w:val="21"/>
          <w:szCs w:val="21"/>
        </w:rPr>
      </w:pPr>
      <w:r>
        <w:rPr>
          <w:rFonts w:hint="eastAsia"/>
          <w:b/>
          <w:bCs/>
          <w:sz w:val="21"/>
          <w:szCs w:val="21"/>
        </w:rPr>
        <w:t>附件</w:t>
      </w:r>
      <w:r>
        <w:rPr>
          <w:b/>
          <w:bCs/>
          <w:sz w:val="21"/>
          <w:szCs w:val="21"/>
        </w:rPr>
        <w:t>1</w:t>
      </w:r>
      <w:r>
        <w:rPr>
          <w:rFonts w:hint="eastAsia"/>
          <w:b/>
          <w:bCs/>
          <w:sz w:val="21"/>
          <w:szCs w:val="21"/>
        </w:rPr>
        <w:t>：甲方营业执照（加盖公章）</w:t>
      </w:r>
    </w:p>
    <w:p>
      <w:pPr>
        <w:spacing w:before="489" w:beforeLines="150"/>
        <w:ind w:firstLine="0" w:firstLineChars="0"/>
        <w:rPr>
          <w:b/>
          <w:bCs/>
          <w:sz w:val="21"/>
          <w:szCs w:val="21"/>
        </w:rPr>
      </w:pPr>
    </w:p>
    <w:p>
      <w:pPr>
        <w:spacing w:before="489" w:beforeLines="150"/>
        <w:ind w:firstLine="0" w:firstLineChars="0"/>
        <w:rPr>
          <w:b/>
          <w:bCs/>
          <w:sz w:val="21"/>
          <w:szCs w:val="21"/>
        </w:rPr>
      </w:pPr>
    </w:p>
    <w:p>
      <w:pPr>
        <w:spacing w:before="489" w:beforeLines="150"/>
        <w:ind w:firstLine="0" w:firstLineChars="0"/>
        <w:rPr>
          <w:sz w:val="21"/>
          <w:szCs w:val="21"/>
        </w:rPr>
      </w:pPr>
      <w:r>
        <w:rPr>
          <w:rFonts w:hint="eastAsia"/>
          <w:b/>
          <w:bCs/>
          <w:sz w:val="21"/>
          <w:szCs w:val="21"/>
        </w:rPr>
        <w:t>附件2：甲乙双方相关部门对接人员联系信息表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08"/>
        <w:gridCol w:w="2187"/>
        <w:gridCol w:w="1483"/>
        <w:gridCol w:w="1439"/>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甲方对接人员信息表</w:t>
            </w:r>
          </w:p>
        </w:tc>
        <w:tc>
          <w:tcPr>
            <w:tcW w:w="851"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乙方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销售经理</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客服</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pPr>
        <w:spacing w:before="489" w:beforeLines="150"/>
        <w:ind w:firstLine="0" w:firstLineChars="0"/>
        <w:rPr>
          <w:sz w:val="21"/>
          <w:szCs w:val="21"/>
        </w:rPr>
      </w:pPr>
    </w:p>
    <w:p>
      <w:pPr>
        <w:spacing w:before="489" w:beforeLines="150"/>
        <w:ind w:firstLine="420"/>
        <w:rPr>
          <w:sz w:val="21"/>
          <w:szCs w:val="21"/>
        </w:rPr>
      </w:pPr>
    </w:p>
    <w:p>
      <w:pPr>
        <w:spacing w:before="163" w:beforeLines="50"/>
        <w:ind w:firstLine="420"/>
        <w:rPr>
          <w:sz w:val="21"/>
          <w:szCs w:val="21"/>
        </w:rPr>
      </w:pPr>
    </w:p>
    <w:sectPr>
      <w:pgSz w:w="11906" w:h="16838"/>
      <w:pgMar w:top="1440" w:right="1700" w:bottom="1440" w:left="156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8"/>
      </w:pBdr>
      <w:spacing w:before="72"/>
      <w:ind w:firstLine="360"/>
    </w:pPr>
    <w:r>
      <w:drawing>
        <wp:anchor distT="0" distB="0" distL="114300" distR="114300" simplePos="0" relativeHeight="251660288" behindDoc="0" locked="0" layoutInCell="1" allowOverlap="1">
          <wp:simplePos x="0" y="0"/>
          <wp:positionH relativeFrom="column">
            <wp:posOffset>-974725</wp:posOffset>
          </wp:positionH>
          <wp:positionV relativeFrom="paragraph">
            <wp:posOffset>-264160</wp:posOffset>
          </wp:positionV>
          <wp:extent cx="7474585" cy="1010920"/>
          <wp:effectExtent l="0" t="0" r="8255" b="1016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474585" cy="1010920"/>
                  </a:xfrm>
                  <a:prstGeom prst="rect">
                    <a:avLst/>
                  </a:prstGeom>
                </pic:spPr>
              </pic:pic>
            </a:graphicData>
          </a:graphic>
        </wp:anchor>
      </w:drawing>
    </w:r>
  </w:p>
  <w:p>
    <w:pPr>
      <w:pStyle w:val="7"/>
      <w:pBdr>
        <w:bottom w:val="single" w:color="auto" w:sz="6" w:space="18"/>
      </w:pBdr>
      <w:tabs>
        <w:tab w:val="left" w:pos="1710"/>
      </w:tabs>
      <w:spacing w:before="72"/>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9264" behindDoc="0" locked="0" layoutInCell="1" allowOverlap="1">
          <wp:simplePos x="0" y="0"/>
          <wp:positionH relativeFrom="column">
            <wp:posOffset>-1051560</wp:posOffset>
          </wp:positionH>
          <wp:positionV relativeFrom="paragraph">
            <wp:posOffset>-502920</wp:posOffset>
          </wp:positionV>
          <wp:extent cx="7278370" cy="1010920"/>
          <wp:effectExtent l="0" t="0" r="6350" b="1016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278370" cy="1010920"/>
                  </a:xfrm>
                  <a:prstGeom prst="rect">
                    <a:avLst/>
                  </a:prstGeom>
                </pic:spPr>
              </pic:pic>
            </a:graphicData>
          </a:graphic>
        </wp:anchor>
      </w:drawing>
    </w:r>
  </w:p>
  <w:p>
    <w:pPr>
      <w:pStyle w:val="7"/>
      <w:spacing w:before="72"/>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A93C23"/>
    <w:multiLevelType w:val="multilevel"/>
    <w:tmpl w:val="18A93C2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A42947"/>
    <w:multiLevelType w:val="multilevel"/>
    <w:tmpl w:val="1AA4294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23900C2"/>
    <w:multiLevelType w:val="multilevel"/>
    <w:tmpl w:val="323900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BD7943"/>
    <w:multiLevelType w:val="multilevel"/>
    <w:tmpl w:val="38BD7943"/>
    <w:lvl w:ilvl="0" w:tentative="0">
      <w:start w:val="1"/>
      <w:numFmt w:val="decimal"/>
      <w:suff w:val="nothing"/>
      <w:lvlText w:val="%1、"/>
      <w:lvlJc w:val="left"/>
      <w:pPr>
        <w:ind w:left="840" w:hanging="420"/>
      </w:pPr>
      <w:rPr>
        <w:rFonts w:hint="eastAsia"/>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B1602F4"/>
    <w:multiLevelType w:val="multilevel"/>
    <w:tmpl w:val="3B1602F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D7903B2"/>
    <w:multiLevelType w:val="multilevel"/>
    <w:tmpl w:val="3D7903B2"/>
    <w:lvl w:ilvl="0" w:tentative="0">
      <w:start w:val="1"/>
      <w:numFmt w:val="decimal"/>
      <w:suff w:val="nothing"/>
      <w:lvlText w:val="（%1）"/>
      <w:lvlJc w:val="left"/>
      <w:pPr>
        <w:ind w:left="857" w:hanging="375"/>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7">
    <w:nsid w:val="49BA31D8"/>
    <w:multiLevelType w:val="multilevel"/>
    <w:tmpl w:val="49BA3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7862B9"/>
    <w:multiLevelType w:val="multilevel"/>
    <w:tmpl w:val="537862B9"/>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9">
    <w:nsid w:val="56CB5F98"/>
    <w:multiLevelType w:val="multilevel"/>
    <w:tmpl w:val="56CB5F98"/>
    <w:lvl w:ilvl="0" w:tentative="0">
      <w:start w:val="1"/>
      <w:numFmt w:val="decimal"/>
      <w:suff w:val="nothing"/>
      <w:lvlText w:val="（%1）"/>
      <w:lvlJc w:val="left"/>
      <w:pPr>
        <w:ind w:left="2580" w:hanging="420"/>
      </w:pPr>
      <w:rPr>
        <w:rFonts w:hint="eastAsia"/>
      </w:rPr>
    </w:lvl>
    <w:lvl w:ilvl="1" w:tentative="0">
      <w:start w:val="1"/>
      <w:numFmt w:val="lowerLetter"/>
      <w:lvlText w:val="%2)"/>
      <w:lvlJc w:val="left"/>
      <w:pPr>
        <w:ind w:left="3000" w:hanging="420"/>
      </w:pPr>
      <w:rPr>
        <w:rFonts w:hint="eastAsia"/>
      </w:rPr>
    </w:lvl>
    <w:lvl w:ilvl="2" w:tentative="0">
      <w:start w:val="1"/>
      <w:numFmt w:val="lowerRoman"/>
      <w:lvlText w:val="%3."/>
      <w:lvlJc w:val="right"/>
      <w:pPr>
        <w:ind w:left="3420" w:hanging="420"/>
      </w:pPr>
      <w:rPr>
        <w:rFonts w:hint="eastAsia"/>
      </w:rPr>
    </w:lvl>
    <w:lvl w:ilvl="3" w:tentative="0">
      <w:start w:val="1"/>
      <w:numFmt w:val="decimal"/>
      <w:lvlText w:val="%4."/>
      <w:lvlJc w:val="left"/>
      <w:pPr>
        <w:ind w:left="3840" w:hanging="420"/>
      </w:pPr>
      <w:rPr>
        <w:rFonts w:hint="eastAsia"/>
      </w:rPr>
    </w:lvl>
    <w:lvl w:ilvl="4" w:tentative="0">
      <w:start w:val="1"/>
      <w:numFmt w:val="lowerLetter"/>
      <w:lvlText w:val="%5)"/>
      <w:lvlJc w:val="left"/>
      <w:pPr>
        <w:ind w:left="4260" w:hanging="420"/>
      </w:pPr>
      <w:rPr>
        <w:rFonts w:hint="eastAsia"/>
      </w:rPr>
    </w:lvl>
    <w:lvl w:ilvl="5" w:tentative="0">
      <w:start w:val="1"/>
      <w:numFmt w:val="lowerRoman"/>
      <w:lvlText w:val="%6."/>
      <w:lvlJc w:val="right"/>
      <w:pPr>
        <w:ind w:left="4680" w:hanging="420"/>
      </w:pPr>
      <w:rPr>
        <w:rFonts w:hint="eastAsia"/>
      </w:rPr>
    </w:lvl>
    <w:lvl w:ilvl="6" w:tentative="0">
      <w:start w:val="1"/>
      <w:numFmt w:val="decimal"/>
      <w:lvlText w:val="%7."/>
      <w:lvlJc w:val="left"/>
      <w:pPr>
        <w:ind w:left="5100" w:hanging="420"/>
      </w:pPr>
      <w:rPr>
        <w:rFonts w:hint="eastAsia"/>
      </w:rPr>
    </w:lvl>
    <w:lvl w:ilvl="7" w:tentative="0">
      <w:start w:val="1"/>
      <w:numFmt w:val="lowerLetter"/>
      <w:lvlText w:val="%8)"/>
      <w:lvlJc w:val="left"/>
      <w:pPr>
        <w:ind w:left="5520" w:hanging="420"/>
      </w:pPr>
      <w:rPr>
        <w:rFonts w:hint="eastAsia"/>
      </w:rPr>
    </w:lvl>
    <w:lvl w:ilvl="8" w:tentative="0">
      <w:start w:val="1"/>
      <w:numFmt w:val="lowerRoman"/>
      <w:lvlText w:val="%9."/>
      <w:lvlJc w:val="right"/>
      <w:pPr>
        <w:ind w:left="5940" w:hanging="420"/>
      </w:pPr>
      <w:rPr>
        <w:rFonts w:hint="eastAsia"/>
      </w:rPr>
    </w:lvl>
  </w:abstractNum>
  <w:abstractNum w:abstractNumId="10">
    <w:nsid w:val="69C917F8"/>
    <w:multiLevelType w:val="multilevel"/>
    <w:tmpl w:val="69C917F8"/>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9"/>
  </w:num>
  <w:num w:numId="3">
    <w:abstractNumId w:val="8"/>
  </w:num>
  <w:num w:numId="4">
    <w:abstractNumId w:val="6"/>
  </w:num>
  <w:num w:numId="5">
    <w:abstractNumId w:val="2"/>
  </w:num>
  <w:num w:numId="6">
    <w:abstractNumId w:val="5"/>
  </w:num>
  <w:num w:numId="7">
    <w:abstractNumId w:val="10"/>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42675"/>
    <w:rsid w:val="00046CA3"/>
    <w:rsid w:val="00062190"/>
    <w:rsid w:val="000726B7"/>
    <w:rsid w:val="00081F69"/>
    <w:rsid w:val="00087CF3"/>
    <w:rsid w:val="000A61DF"/>
    <w:rsid w:val="000B3637"/>
    <w:rsid w:val="000C1217"/>
    <w:rsid w:val="000C3C7B"/>
    <w:rsid w:val="000C6C0C"/>
    <w:rsid w:val="000D5A56"/>
    <w:rsid w:val="000F3F0C"/>
    <w:rsid w:val="0010412E"/>
    <w:rsid w:val="00104A89"/>
    <w:rsid w:val="0010788F"/>
    <w:rsid w:val="001161DC"/>
    <w:rsid w:val="001172A8"/>
    <w:rsid w:val="001246E4"/>
    <w:rsid w:val="001271E0"/>
    <w:rsid w:val="001611C9"/>
    <w:rsid w:val="001C4F7F"/>
    <w:rsid w:val="001D11BD"/>
    <w:rsid w:val="001D3ECC"/>
    <w:rsid w:val="001E02AB"/>
    <w:rsid w:val="001E3E0A"/>
    <w:rsid w:val="001F71D3"/>
    <w:rsid w:val="00202CF0"/>
    <w:rsid w:val="00202E8F"/>
    <w:rsid w:val="0020629F"/>
    <w:rsid w:val="00213A4F"/>
    <w:rsid w:val="00226F80"/>
    <w:rsid w:val="002422F5"/>
    <w:rsid w:val="0025080E"/>
    <w:rsid w:val="00254B04"/>
    <w:rsid w:val="00263A48"/>
    <w:rsid w:val="0027540B"/>
    <w:rsid w:val="00283038"/>
    <w:rsid w:val="002A0ED1"/>
    <w:rsid w:val="002A3701"/>
    <w:rsid w:val="002B107A"/>
    <w:rsid w:val="002C63AE"/>
    <w:rsid w:val="002D0BEE"/>
    <w:rsid w:val="002D1E35"/>
    <w:rsid w:val="00302E2A"/>
    <w:rsid w:val="003130D7"/>
    <w:rsid w:val="00315C9B"/>
    <w:rsid w:val="00321C73"/>
    <w:rsid w:val="00325D87"/>
    <w:rsid w:val="00332E67"/>
    <w:rsid w:val="00370E27"/>
    <w:rsid w:val="00382264"/>
    <w:rsid w:val="00387A1C"/>
    <w:rsid w:val="003919AA"/>
    <w:rsid w:val="003930A2"/>
    <w:rsid w:val="00394199"/>
    <w:rsid w:val="003A4781"/>
    <w:rsid w:val="003B3663"/>
    <w:rsid w:val="003D26AC"/>
    <w:rsid w:val="003D4285"/>
    <w:rsid w:val="00414F37"/>
    <w:rsid w:val="0043693B"/>
    <w:rsid w:val="00437100"/>
    <w:rsid w:val="0044162D"/>
    <w:rsid w:val="00472EE9"/>
    <w:rsid w:val="0047318F"/>
    <w:rsid w:val="00474E36"/>
    <w:rsid w:val="00487F7F"/>
    <w:rsid w:val="004939E0"/>
    <w:rsid w:val="004950F9"/>
    <w:rsid w:val="004B61A9"/>
    <w:rsid w:val="004C220C"/>
    <w:rsid w:val="004C3A20"/>
    <w:rsid w:val="004C3A43"/>
    <w:rsid w:val="004D3246"/>
    <w:rsid w:val="004D52AC"/>
    <w:rsid w:val="004E4245"/>
    <w:rsid w:val="004E71B2"/>
    <w:rsid w:val="00504174"/>
    <w:rsid w:val="00515F45"/>
    <w:rsid w:val="00520F3C"/>
    <w:rsid w:val="00524149"/>
    <w:rsid w:val="00524307"/>
    <w:rsid w:val="00527A2C"/>
    <w:rsid w:val="00532FDF"/>
    <w:rsid w:val="005406CD"/>
    <w:rsid w:val="00551E38"/>
    <w:rsid w:val="00553AE0"/>
    <w:rsid w:val="0055505E"/>
    <w:rsid w:val="005650E6"/>
    <w:rsid w:val="0056626F"/>
    <w:rsid w:val="005A662B"/>
    <w:rsid w:val="005B04CF"/>
    <w:rsid w:val="005B3AD1"/>
    <w:rsid w:val="005B4C06"/>
    <w:rsid w:val="005D3704"/>
    <w:rsid w:val="005D5DA3"/>
    <w:rsid w:val="005E46E6"/>
    <w:rsid w:val="005E5D1C"/>
    <w:rsid w:val="005E77E3"/>
    <w:rsid w:val="005F7311"/>
    <w:rsid w:val="0060023E"/>
    <w:rsid w:val="00603A9B"/>
    <w:rsid w:val="00623FB7"/>
    <w:rsid w:val="00627199"/>
    <w:rsid w:val="0065353E"/>
    <w:rsid w:val="0067325F"/>
    <w:rsid w:val="00674842"/>
    <w:rsid w:val="00676F93"/>
    <w:rsid w:val="006A2044"/>
    <w:rsid w:val="006A7740"/>
    <w:rsid w:val="006A7D46"/>
    <w:rsid w:val="006B7DB4"/>
    <w:rsid w:val="006C11EF"/>
    <w:rsid w:val="006C15D4"/>
    <w:rsid w:val="006E2615"/>
    <w:rsid w:val="007034FE"/>
    <w:rsid w:val="00704840"/>
    <w:rsid w:val="00707F77"/>
    <w:rsid w:val="00712C8C"/>
    <w:rsid w:val="007313FC"/>
    <w:rsid w:val="00733340"/>
    <w:rsid w:val="00735422"/>
    <w:rsid w:val="00745A62"/>
    <w:rsid w:val="0074794B"/>
    <w:rsid w:val="00751BC8"/>
    <w:rsid w:val="00787153"/>
    <w:rsid w:val="00791AE9"/>
    <w:rsid w:val="00795649"/>
    <w:rsid w:val="00796273"/>
    <w:rsid w:val="007A3188"/>
    <w:rsid w:val="007C2860"/>
    <w:rsid w:val="007C3042"/>
    <w:rsid w:val="007D730A"/>
    <w:rsid w:val="007E76C7"/>
    <w:rsid w:val="00802720"/>
    <w:rsid w:val="008066C8"/>
    <w:rsid w:val="00813131"/>
    <w:rsid w:val="00816B76"/>
    <w:rsid w:val="008359EB"/>
    <w:rsid w:val="00846F94"/>
    <w:rsid w:val="008474D0"/>
    <w:rsid w:val="00867879"/>
    <w:rsid w:val="00875737"/>
    <w:rsid w:val="008A2E2E"/>
    <w:rsid w:val="008C0A36"/>
    <w:rsid w:val="008C1932"/>
    <w:rsid w:val="008C5B20"/>
    <w:rsid w:val="008D1225"/>
    <w:rsid w:val="009057E8"/>
    <w:rsid w:val="00924A53"/>
    <w:rsid w:val="009376E3"/>
    <w:rsid w:val="009414AE"/>
    <w:rsid w:val="00944A4A"/>
    <w:rsid w:val="00945DB1"/>
    <w:rsid w:val="00971C5E"/>
    <w:rsid w:val="009A7DB2"/>
    <w:rsid w:val="009D1F9D"/>
    <w:rsid w:val="009E5463"/>
    <w:rsid w:val="009E6484"/>
    <w:rsid w:val="009E6A3A"/>
    <w:rsid w:val="009F0060"/>
    <w:rsid w:val="00A02CAA"/>
    <w:rsid w:val="00A03D1A"/>
    <w:rsid w:val="00A2461A"/>
    <w:rsid w:val="00A267DD"/>
    <w:rsid w:val="00A374F1"/>
    <w:rsid w:val="00A41252"/>
    <w:rsid w:val="00A563D4"/>
    <w:rsid w:val="00A63107"/>
    <w:rsid w:val="00A72169"/>
    <w:rsid w:val="00A81620"/>
    <w:rsid w:val="00A87627"/>
    <w:rsid w:val="00A9528C"/>
    <w:rsid w:val="00AB63A9"/>
    <w:rsid w:val="00AC5416"/>
    <w:rsid w:val="00AD27AF"/>
    <w:rsid w:val="00AD7A47"/>
    <w:rsid w:val="00AE3E6E"/>
    <w:rsid w:val="00B00421"/>
    <w:rsid w:val="00B12CE2"/>
    <w:rsid w:val="00B369BF"/>
    <w:rsid w:val="00B454DF"/>
    <w:rsid w:val="00B54642"/>
    <w:rsid w:val="00B54C3E"/>
    <w:rsid w:val="00B65422"/>
    <w:rsid w:val="00B659B6"/>
    <w:rsid w:val="00B826A5"/>
    <w:rsid w:val="00B867AD"/>
    <w:rsid w:val="00BA0946"/>
    <w:rsid w:val="00BB50D2"/>
    <w:rsid w:val="00BC6CDA"/>
    <w:rsid w:val="00BD3345"/>
    <w:rsid w:val="00BE26D7"/>
    <w:rsid w:val="00BE484E"/>
    <w:rsid w:val="00BF2AEE"/>
    <w:rsid w:val="00C02499"/>
    <w:rsid w:val="00C1063B"/>
    <w:rsid w:val="00C166B4"/>
    <w:rsid w:val="00C2075E"/>
    <w:rsid w:val="00C35AE5"/>
    <w:rsid w:val="00C37821"/>
    <w:rsid w:val="00C439E9"/>
    <w:rsid w:val="00C52B0E"/>
    <w:rsid w:val="00C52B3C"/>
    <w:rsid w:val="00C534AE"/>
    <w:rsid w:val="00C712FC"/>
    <w:rsid w:val="00C7501F"/>
    <w:rsid w:val="00C867B6"/>
    <w:rsid w:val="00CA11BE"/>
    <w:rsid w:val="00CA6FAA"/>
    <w:rsid w:val="00CB2A35"/>
    <w:rsid w:val="00CB4777"/>
    <w:rsid w:val="00CC2B1F"/>
    <w:rsid w:val="00CD19B9"/>
    <w:rsid w:val="00CD6A07"/>
    <w:rsid w:val="00CE3E7E"/>
    <w:rsid w:val="00CE5C86"/>
    <w:rsid w:val="00CE698E"/>
    <w:rsid w:val="00CF6E94"/>
    <w:rsid w:val="00D01101"/>
    <w:rsid w:val="00D14F13"/>
    <w:rsid w:val="00D158A2"/>
    <w:rsid w:val="00D166BF"/>
    <w:rsid w:val="00D17547"/>
    <w:rsid w:val="00D30A72"/>
    <w:rsid w:val="00D33495"/>
    <w:rsid w:val="00D3554A"/>
    <w:rsid w:val="00D4100A"/>
    <w:rsid w:val="00D45193"/>
    <w:rsid w:val="00D663F4"/>
    <w:rsid w:val="00D853AB"/>
    <w:rsid w:val="00D8595E"/>
    <w:rsid w:val="00D85A7D"/>
    <w:rsid w:val="00D9276F"/>
    <w:rsid w:val="00D9704A"/>
    <w:rsid w:val="00DA2F47"/>
    <w:rsid w:val="00DC01EE"/>
    <w:rsid w:val="00DD1AD3"/>
    <w:rsid w:val="00DD6CCB"/>
    <w:rsid w:val="00E0649F"/>
    <w:rsid w:val="00E20D7E"/>
    <w:rsid w:val="00E22483"/>
    <w:rsid w:val="00E2495B"/>
    <w:rsid w:val="00E254EC"/>
    <w:rsid w:val="00E30D14"/>
    <w:rsid w:val="00E35DA4"/>
    <w:rsid w:val="00E41782"/>
    <w:rsid w:val="00E43E61"/>
    <w:rsid w:val="00E83FD9"/>
    <w:rsid w:val="00E965D7"/>
    <w:rsid w:val="00EB59B2"/>
    <w:rsid w:val="00EC1CB8"/>
    <w:rsid w:val="00EC675B"/>
    <w:rsid w:val="00EC6C0A"/>
    <w:rsid w:val="00ED48D7"/>
    <w:rsid w:val="00EF7A03"/>
    <w:rsid w:val="00F100F8"/>
    <w:rsid w:val="00F1753C"/>
    <w:rsid w:val="00F22126"/>
    <w:rsid w:val="00F37B4A"/>
    <w:rsid w:val="00F47055"/>
    <w:rsid w:val="00F73186"/>
    <w:rsid w:val="00F917C7"/>
    <w:rsid w:val="00F93D04"/>
    <w:rsid w:val="00F93D54"/>
    <w:rsid w:val="00F96695"/>
    <w:rsid w:val="00FA2F72"/>
    <w:rsid w:val="00FA4A2D"/>
    <w:rsid w:val="00FC058B"/>
    <w:rsid w:val="00FC72AE"/>
    <w:rsid w:val="00FD195A"/>
    <w:rsid w:val="00FD26D8"/>
    <w:rsid w:val="00FE3D1A"/>
    <w:rsid w:val="00FF1A4A"/>
    <w:rsid w:val="00FF2058"/>
    <w:rsid w:val="00FF2F3F"/>
    <w:rsid w:val="010255CF"/>
    <w:rsid w:val="05A23386"/>
    <w:rsid w:val="137550C4"/>
    <w:rsid w:val="175B31F1"/>
    <w:rsid w:val="1AD73B66"/>
    <w:rsid w:val="1B1A1340"/>
    <w:rsid w:val="2EC14150"/>
    <w:rsid w:val="391C604F"/>
    <w:rsid w:val="3D8A2058"/>
    <w:rsid w:val="3EDC1CE4"/>
    <w:rsid w:val="479304CC"/>
    <w:rsid w:val="4D555632"/>
    <w:rsid w:val="5F2B4A70"/>
    <w:rsid w:val="646E30B0"/>
    <w:rsid w:val="66E91660"/>
    <w:rsid w:val="6E510369"/>
    <w:rsid w:val="722456D6"/>
    <w:rsid w:val="7460620D"/>
    <w:rsid w:val="76372199"/>
    <w:rsid w:val="7CB2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标题 字符"/>
    <w:basedOn w:val="13"/>
    <w:link w:val="9"/>
    <w:qFormat/>
    <w:uiPriority w:val="10"/>
    <w:rPr>
      <w:rFonts w:eastAsia="宋体" w:asciiTheme="majorHAnsi" w:hAnsiTheme="majorHAnsi" w:cstheme="majorBidi"/>
      <w:b/>
      <w:bCs/>
      <w:sz w:val="36"/>
      <w:szCs w:val="32"/>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标题 1 字符"/>
    <w:basedOn w:val="13"/>
    <w:link w:val="2"/>
    <w:qFormat/>
    <w:uiPriority w:val="9"/>
    <w:rPr>
      <w:rFonts w:ascii="Times New Roman" w:hAnsi="Times New Roman" w:eastAsia="宋体"/>
      <w:b/>
      <w:bCs/>
      <w:kern w:val="44"/>
      <w:sz w:val="24"/>
      <w:szCs w:val="44"/>
    </w:rPr>
  </w:style>
  <w:style w:type="character" w:customStyle="1" w:styleId="18">
    <w:name w:val="副标题 字符"/>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qFormat/>
    <w:uiPriority w:val="99"/>
    <w:rPr>
      <w:rFonts w:ascii="Times New Roman" w:hAnsi="Times New Roman" w:eastAsia="宋体"/>
      <w:sz w:val="18"/>
      <w:szCs w:val="18"/>
    </w:rPr>
  </w:style>
  <w:style w:type="character" w:customStyle="1" w:styleId="21">
    <w:name w:val="页脚 字符"/>
    <w:basedOn w:val="13"/>
    <w:link w:val="6"/>
    <w:qFormat/>
    <w:uiPriority w:val="99"/>
    <w:rPr>
      <w:rFonts w:ascii="Times New Roman" w:hAnsi="Times New Roman" w:eastAsia="宋体"/>
      <w:sz w:val="18"/>
      <w:szCs w:val="18"/>
    </w:rPr>
  </w:style>
  <w:style w:type="character" w:customStyle="1" w:styleId="22">
    <w:name w:val="批注文字 字符"/>
    <w:basedOn w:val="13"/>
    <w:link w:val="4"/>
    <w:semiHidden/>
    <w:qFormat/>
    <w:uiPriority w:val="99"/>
    <w:rPr>
      <w:rFonts w:ascii="Times New Roman" w:hAnsi="Times New Roman" w:eastAsia="宋体"/>
      <w:sz w:val="24"/>
    </w:rPr>
  </w:style>
  <w:style w:type="character" w:customStyle="1" w:styleId="23">
    <w:name w:val="批注框文本 字符"/>
    <w:basedOn w:val="13"/>
    <w:link w:val="5"/>
    <w:semiHidden/>
    <w:qFormat/>
    <w:uiPriority w:val="99"/>
    <w:rPr>
      <w:rFonts w:ascii="Times New Roman" w:hAnsi="Times New Roman" w:eastAsia="宋体"/>
      <w:sz w:val="18"/>
      <w:szCs w:val="18"/>
    </w:rPr>
  </w:style>
  <w:style w:type="character" w:customStyle="1" w:styleId="24">
    <w:name w:val="批注主题 字符"/>
    <w:basedOn w:val="22"/>
    <w:link w:val="10"/>
    <w:semiHidden/>
    <w:qFormat/>
    <w:uiPriority w:val="99"/>
    <w:rPr>
      <w:rFonts w:ascii="Times New Roman" w:hAnsi="Times New Roman" w:eastAsia="宋体"/>
      <w:b/>
      <w:bCs/>
      <w:sz w:val="24"/>
    </w:rPr>
  </w:style>
  <w:style w:type="table" w:customStyle="1" w:styleId="25">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E3527-E235-40A7-8858-D4DE1003D266}">
  <ds:schemaRefs/>
</ds:datastoreItem>
</file>

<file path=docProps/app.xml><?xml version="1.0" encoding="utf-8"?>
<Properties xmlns="http://schemas.openxmlformats.org/officeDocument/2006/extended-properties" xmlns:vt="http://schemas.openxmlformats.org/officeDocument/2006/docPropsVTypes">
  <Template>Normal</Template>
  <Pages>11</Pages>
  <Words>1080</Words>
  <Characters>6162</Characters>
  <Lines>51</Lines>
  <Paragraphs>14</Paragraphs>
  <TotalTime>3</TotalTime>
  <ScaleCrop>false</ScaleCrop>
  <LinksUpToDate>false</LinksUpToDate>
  <CharactersWithSpaces>7228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2020-12-09T04:08:00Z</dcterms:created>
  <dc:creator>GF</dc:creator>
  <cp:lastModifiedBy>Yu.</cp:lastModifiedBy>
  <dcterms:modified xsi:type="dcterms:W3CDTF">2021-04-30T10:26:25Z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795F1DD8D41C4649A44A66412953D01E</vt:lpwstr>
  </property>
</Properties>
</file>